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231F20"/>
        </w:rPr>
        <mc:AlternateContent>
          <mc:Choice Requires="wps">
            <w:drawing>
              <wp:anchor simplePos="0" relativeHeight="251657728" behindDoc="1" locked="0" layoutInCell="0" allowOverlap="1">
                <wp:simplePos x="0" y="0"/>
                <wp:positionH relativeFrom="page">
                  <wp:posOffset>342900</wp:posOffset>
                </wp:positionH>
                <wp:positionV relativeFrom="page">
                  <wp:posOffset>493395</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38.85pt" to="567pt,38.85pt" o:allowincell="f" strokecolor="#231F2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342900</wp:posOffset>
                </wp:positionH>
                <wp:positionV relativeFrom="page">
                  <wp:posOffset>512445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40.35pt" to="567pt,40.35pt" o:allowincell="f" strokecolor="#231F20" strokeweight="0.75pt">
                <w10:wrap anchorx="page" anchory="page"/>
              </v:line>
            </w:pict>
          </mc:Fallback>
        </mc:AlternateContent>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31F20"/>
        </w:rPr>
        <w:t>SECURITIES AND EXCHANGE COMMISSION</w:t>
      </w:r>
    </w:p>
    <w:p>
      <w:pPr>
        <w:jc w:val="center"/>
        <w:spacing w:after="0"/>
        <w:rPr>
          <w:sz w:val="20"/>
          <w:szCs w:val="20"/>
          <w:color w:val="auto"/>
        </w:rPr>
      </w:pPr>
      <w:r>
        <w:rPr>
          <w:rFonts w:ascii="Arial" w:cs="Arial" w:eastAsia="Arial" w:hAnsi="Arial"/>
          <w:sz w:val="20"/>
          <w:szCs w:val="20"/>
          <w:b w:val="1"/>
          <w:bCs w:val="1"/>
          <w:color w:val="231F20"/>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58420</wp:posOffset>
                </wp:positionV>
                <wp:extent cx="1371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6pt" to="324pt,4.6pt" o:allowincell="f" strokecolor="#231F20" strokeweight="1pt"/>
            </w:pict>
          </mc:Fallback>
        </mc:AlternateConten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31F20"/>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57150</wp:posOffset>
                </wp:positionV>
                <wp:extent cx="1371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pt" to="324pt,4.5pt" o:allowincell="f" strokecolor="#231F20" strokeweight="1pt"/>
            </w:pict>
          </mc:Fallback>
        </mc:AlternateContent>
      </w:r>
    </w:p>
    <w:p>
      <w:pPr>
        <w:spacing w:after="0" w:line="1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231F20"/>
        </w:rPr>
        <w:t>(Mark One)</w:t>
      </w:r>
    </w:p>
    <w:p>
      <w:pPr>
        <w:spacing w:after="0" w:line="14" w:lineRule="exact"/>
        <w:rPr>
          <w:sz w:val="24"/>
          <w:szCs w:val="24"/>
          <w:color w:val="auto"/>
        </w:rPr>
      </w:pPr>
    </w:p>
    <w:p>
      <w:pPr>
        <w:ind w:left="440" w:hanging="426"/>
        <w:spacing w:after="0"/>
        <w:tabs>
          <w:tab w:leader="none" w:pos="440" w:val="left"/>
        </w:tabs>
        <w:numPr>
          <w:ilvl w:val="0"/>
          <w:numId w:val="1"/>
        </w:numPr>
        <w:rPr>
          <w:rFonts w:ascii="Segoe UI Symbol" w:cs="Segoe UI Symbol" w:eastAsia="Segoe UI Symbol" w:hAnsi="Segoe UI Symbol"/>
          <w:sz w:val="18"/>
          <w:szCs w:val="18"/>
          <w:b w:val="1"/>
          <w:bCs w:val="1"/>
          <w:color w:val="231F20"/>
        </w:rPr>
      </w:pPr>
      <w:r>
        <w:rPr>
          <w:rFonts w:ascii="Arial" w:cs="Arial" w:eastAsia="Arial" w:hAnsi="Arial"/>
          <w:sz w:val="18"/>
          <w:szCs w:val="18"/>
          <w:b w:val="1"/>
          <w:bCs w:val="1"/>
          <w:color w:val="231F20"/>
        </w:rPr>
        <w:t>ANNUAL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For the fiscal year ended December 31, 2025</w:t>
      </w:r>
    </w:p>
    <w:p>
      <w:pPr>
        <w:jc w:val="center"/>
        <w:spacing w:after="0" w:line="233" w:lineRule="auto"/>
        <w:rPr>
          <w:sz w:val="20"/>
          <w:szCs w:val="20"/>
          <w:color w:val="auto"/>
        </w:rPr>
      </w:pPr>
      <w:r>
        <w:rPr>
          <w:rFonts w:ascii="Arial" w:cs="Arial" w:eastAsia="Arial" w:hAnsi="Arial"/>
          <w:sz w:val="18"/>
          <w:szCs w:val="18"/>
          <w:b w:val="1"/>
          <w:bCs w:val="1"/>
          <w:color w:val="231F20"/>
        </w:rPr>
        <w:t>OR</w:t>
      </w:r>
    </w:p>
    <w:p>
      <w:pPr>
        <w:ind w:left="440" w:hanging="426"/>
        <w:spacing w:after="0" w:line="235" w:lineRule="auto"/>
        <w:tabs>
          <w:tab w:leader="none" w:pos="440" w:val="left"/>
        </w:tabs>
        <w:numPr>
          <w:ilvl w:val="0"/>
          <w:numId w:val="2"/>
        </w:numPr>
        <w:rPr>
          <w:rFonts w:ascii="Segoe UI Symbol" w:cs="Segoe UI Symbol" w:eastAsia="Segoe UI Symbol" w:hAnsi="Segoe UI Symbol"/>
          <w:sz w:val="18"/>
          <w:szCs w:val="18"/>
          <w:b w:val="1"/>
          <w:bCs w:val="1"/>
          <w:color w:val="231F20"/>
        </w:rPr>
      </w:pPr>
      <w:r>
        <w:rPr>
          <w:rFonts w:ascii="Arial" w:cs="Arial" w:eastAsia="Arial" w:hAnsi="Arial"/>
          <w:sz w:val="18"/>
          <w:szCs w:val="18"/>
          <w:b w:val="1"/>
          <w:bCs w:val="1"/>
          <w:color w:val="231F20"/>
        </w:rPr>
        <w:t>TRANSITION REPORT PURSUANT TO SECTION 13 OR 15(d) OF THE SECURITIES EXCHANGE ACT OF 1934</w:t>
      </w:r>
    </w:p>
    <w:p>
      <w:pPr>
        <w:spacing w:after="0" w:line="11" w:lineRule="exact"/>
        <w:rPr>
          <w:sz w:val="24"/>
          <w:szCs w:val="24"/>
          <w:color w:val="auto"/>
        </w:rPr>
      </w:pPr>
    </w:p>
    <w:p>
      <w:pPr>
        <w:ind w:left="3720"/>
        <w:spacing w:after="0"/>
        <w:tabs>
          <w:tab w:leader="none" w:pos="7320" w:val="left"/>
        </w:tabs>
        <w:rPr>
          <w:sz w:val="20"/>
          <w:szCs w:val="20"/>
          <w:color w:val="auto"/>
        </w:rPr>
      </w:pPr>
      <w:r>
        <w:rPr>
          <w:rFonts w:ascii="Arial" w:cs="Arial" w:eastAsia="Arial" w:hAnsi="Arial"/>
          <w:sz w:val="18"/>
          <w:szCs w:val="18"/>
          <w:b w:val="1"/>
          <w:bCs w:val="1"/>
          <w:color w:val="231F20"/>
        </w:rPr>
        <w:t>For the transition period from</w:t>
      </w:r>
      <w:r>
        <w:rPr>
          <w:sz w:val="20"/>
          <w:szCs w:val="20"/>
          <w:color w:val="auto"/>
        </w:rPr>
        <w:tab/>
      </w:r>
      <w:r>
        <w:rPr>
          <w:rFonts w:ascii="Arial" w:cs="Arial" w:eastAsia="Arial" w:hAnsi="Arial"/>
          <w:sz w:val="18"/>
          <w:szCs w:val="18"/>
          <w:b w:val="1"/>
          <w:bCs w:val="1"/>
          <w:color w:val="231F20"/>
        </w:rPr>
        <w:t>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Commission File Number 001-41331</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65405</wp:posOffset>
                </wp:positionV>
                <wp:extent cx="1371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15pt" to="324pt,5.15pt" o:allowincell="f" strokecolor="#231F20" strokeweight="1pt"/>
            </w:pict>
          </mc:Fallback>
        </mc:AlternateConten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231F20"/>
        </w:rPr>
        <w:t>AN2 Therapeutics,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59055</wp:posOffset>
                </wp:positionV>
                <wp:extent cx="13716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65pt" to="324pt,4.65pt" o:allowincell="f" strokecolor="#231F20" strokeweight="1pt"/>
            </w:pict>
          </mc:Fallback>
        </mc:AlternateContent>
      </w:r>
    </w:p>
    <w:p>
      <w:pPr>
        <w:sectPr>
          <w:pgSz w:w="11880" w:h="15480" w:orient="portrait"/>
          <w:cols w:equalWidth="0" w:num="1">
            <w:col w:w="10800"/>
          </w:cols>
          <w:pgMar w:left="540" w:top="917" w:right="540" w:bottom="708" w:gutter="0" w:footer="0" w:header="0"/>
        </w:sectPr>
      </w:pPr>
    </w:p>
    <w:p>
      <w:pPr>
        <w:spacing w:after="0" w:line="152"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231F20"/>
        </w:rPr>
        <w:t>Delaware</w:t>
      </w:r>
    </w:p>
    <w:p>
      <w:pPr>
        <w:spacing w:after="0" w:line="25" w:lineRule="exact"/>
        <w:rPr>
          <w:sz w:val="24"/>
          <w:szCs w:val="24"/>
          <w:color w:val="auto"/>
        </w:rPr>
      </w:pPr>
    </w:p>
    <w:p>
      <w:pPr>
        <w:ind w:left="1740"/>
        <w:spacing w:after="0"/>
        <w:rPr>
          <w:sz w:val="20"/>
          <w:szCs w:val="20"/>
          <w:color w:val="auto"/>
        </w:rPr>
      </w:pPr>
      <w:r>
        <w:rPr>
          <w:rFonts w:ascii="Arial" w:cs="Arial" w:eastAsia="Arial" w:hAnsi="Arial"/>
          <w:sz w:val="14"/>
          <w:szCs w:val="14"/>
          <w:b w:val="1"/>
          <w:bCs w:val="1"/>
          <w:color w:val="231F20"/>
        </w:rPr>
        <w:t>(State or other jurisdiction of</w:t>
      </w:r>
    </w:p>
    <w:p>
      <w:pPr>
        <w:ind w:left="1700"/>
        <w:spacing w:after="0"/>
        <w:rPr>
          <w:sz w:val="20"/>
          <w:szCs w:val="20"/>
          <w:color w:val="auto"/>
        </w:rPr>
      </w:pPr>
      <w:r>
        <w:rPr>
          <w:rFonts w:ascii="Arial" w:cs="Arial" w:eastAsia="Arial" w:hAnsi="Arial"/>
          <w:sz w:val="14"/>
          <w:szCs w:val="14"/>
          <w:b w:val="1"/>
          <w:bCs w:val="1"/>
          <w:color w:val="231F20"/>
        </w:rPr>
        <w:t>incorporation or organization)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231F20"/>
        </w:rPr>
        <w:t>82-0606654</w:t>
      </w:r>
    </w:p>
    <w:p>
      <w:pPr>
        <w:spacing w:after="0" w:line="40"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231F20"/>
        </w:rPr>
        <w:t>(I.R.S. Employer</w:t>
      </w:r>
    </w:p>
    <w:p>
      <w:pPr>
        <w:jc w:val="center"/>
        <w:ind w:right="2120"/>
        <w:spacing w:after="0"/>
        <w:rPr>
          <w:sz w:val="20"/>
          <w:szCs w:val="20"/>
          <w:color w:val="auto"/>
        </w:rPr>
      </w:pPr>
      <w:r>
        <w:rPr>
          <w:rFonts w:ascii="Arial" w:cs="Arial" w:eastAsia="Arial" w:hAnsi="Arial"/>
          <w:sz w:val="13"/>
          <w:szCs w:val="13"/>
          <w:b w:val="1"/>
          <w:bCs w:val="1"/>
          <w:color w:val="231F20"/>
        </w:rPr>
        <w:t>Identification No.)</w:t>
      </w:r>
    </w:p>
    <w:p>
      <w:pPr>
        <w:spacing w:after="0" w:line="13" w:lineRule="exact"/>
        <w:rPr>
          <w:sz w:val="24"/>
          <w:szCs w:val="24"/>
          <w:color w:val="auto"/>
        </w:rPr>
      </w:pPr>
    </w:p>
    <w:p>
      <w:pPr>
        <w:sectPr>
          <w:pgSz w:w="11880" w:h="15480" w:orient="portrait"/>
          <w:cols w:equalWidth="0" w:num="2">
            <w:col w:w="6780" w:space="720"/>
            <w:col w:w="3300"/>
          </w:cols>
          <w:pgMar w:left="540" w:top="917" w:right="540" w:bottom="708" w:gutter="0" w:footer="0" w:header="0"/>
          <w:type w:val="continuous"/>
        </w:sectPr>
      </w:pPr>
    </w:p>
    <w:p>
      <w:pPr>
        <w:ind w:left="1360"/>
        <w:spacing w:after="0"/>
        <w:rPr>
          <w:sz w:val="20"/>
          <w:szCs w:val="20"/>
          <w:color w:val="auto"/>
        </w:rPr>
      </w:pPr>
      <w:r>
        <w:rPr>
          <w:rFonts w:ascii="Arial" w:cs="Arial" w:eastAsia="Arial" w:hAnsi="Arial"/>
          <w:sz w:val="18"/>
          <w:szCs w:val="18"/>
          <w:b w:val="1"/>
          <w:bCs w:val="1"/>
          <w:color w:val="231F20"/>
        </w:rPr>
        <w:t>1300 El Camino Real, Suite 100</w:t>
      </w:r>
    </w:p>
    <w:p>
      <w:pPr>
        <w:ind w:left="1740"/>
        <w:spacing w:after="0"/>
        <w:tabs>
          <w:tab w:leader="none" w:pos="7820" w:val="left"/>
        </w:tabs>
        <w:rPr>
          <w:sz w:val="20"/>
          <w:szCs w:val="20"/>
          <w:color w:val="auto"/>
        </w:rPr>
      </w:pPr>
      <w:r>
        <w:rPr>
          <w:rFonts w:ascii="Arial" w:cs="Arial" w:eastAsia="Arial" w:hAnsi="Arial"/>
          <w:sz w:val="18"/>
          <w:szCs w:val="18"/>
          <w:b w:val="1"/>
          <w:bCs w:val="1"/>
          <w:color w:val="231F20"/>
        </w:rPr>
        <w:t>Menlo Park, California</w:t>
      </w:r>
      <w:r>
        <w:rPr>
          <w:sz w:val="20"/>
          <w:szCs w:val="20"/>
          <w:color w:val="auto"/>
        </w:rPr>
        <w:tab/>
      </w:r>
      <w:r>
        <w:rPr>
          <w:rFonts w:ascii="Arial" w:cs="Arial" w:eastAsia="Arial" w:hAnsi="Arial"/>
          <w:sz w:val="17"/>
          <w:szCs w:val="17"/>
          <w:b w:val="1"/>
          <w:bCs w:val="1"/>
          <w:color w:val="231F20"/>
        </w:rPr>
        <w:t>94025</w:t>
      </w:r>
    </w:p>
    <w:p>
      <w:pPr>
        <w:ind w:left="1380"/>
        <w:spacing w:after="0"/>
        <w:tabs>
          <w:tab w:leader="none" w:pos="7720" w:val="left"/>
        </w:tabs>
        <w:rPr>
          <w:sz w:val="20"/>
          <w:szCs w:val="20"/>
          <w:color w:val="auto"/>
        </w:rPr>
      </w:pPr>
      <w:r>
        <w:rPr>
          <w:rFonts w:ascii="Arial" w:cs="Arial" w:eastAsia="Arial" w:hAnsi="Arial"/>
          <w:sz w:val="14"/>
          <w:szCs w:val="14"/>
          <w:b w:val="1"/>
          <w:bCs w:val="1"/>
          <w:color w:val="231F20"/>
        </w:rPr>
        <w:t>(Address of principal executive offices)</w:t>
      </w:r>
      <w:r>
        <w:rPr>
          <w:sz w:val="20"/>
          <w:szCs w:val="20"/>
          <w:color w:val="auto"/>
        </w:rPr>
        <w:tab/>
      </w:r>
      <w:r>
        <w:rPr>
          <w:rFonts w:ascii="Arial" w:cs="Arial" w:eastAsia="Arial" w:hAnsi="Arial"/>
          <w:sz w:val="14"/>
          <w:szCs w:val="14"/>
          <w:b w:val="1"/>
          <w:bCs w:val="1"/>
          <w:color w:val="231F20"/>
        </w:rPr>
        <w:t>(Zip Code)</w:t>
      </w:r>
    </w:p>
    <w:p>
      <w:pPr>
        <w:spacing w:after="0" w:line="107"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231F20"/>
        </w:rPr>
        <w:t>Registrant’s telephone number, including area code: (650) 331-9090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75565</wp:posOffset>
                </wp:positionV>
                <wp:extent cx="13716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95pt" to="324pt,5.95pt" o:allowincell="f" strokecolor="#231F20" strokeweight="1pt"/>
            </w:pict>
          </mc:Fallback>
        </mc:AlternateContent>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231F20"/>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ind w:right="327"/>
              <w:spacing w:after="0"/>
              <w:rPr>
                <w:sz w:val="20"/>
                <w:szCs w:val="20"/>
                <w:color w:val="auto"/>
              </w:rPr>
            </w:pPr>
            <w:r>
              <w:rPr>
                <w:rFonts w:ascii="Arial" w:cs="Arial" w:eastAsia="Arial" w:hAnsi="Arial"/>
                <w:sz w:val="14"/>
                <w:szCs w:val="14"/>
                <w:b w:val="1"/>
                <w:bCs w:val="1"/>
                <w:color w:val="231F20"/>
              </w:rPr>
              <w:t>Trading</w:t>
            </w:r>
          </w:p>
        </w:tc>
        <w:tc>
          <w:tcPr>
            <w:tcW w:w="100" w:type="dxa"/>
            <w:vAlign w:val="bottom"/>
          </w:tcPr>
          <w:p>
            <w:pPr>
              <w:spacing w:after="0"/>
              <w:rPr>
                <w:sz w:val="14"/>
                <w:szCs w:val="14"/>
                <w:color w:val="auto"/>
              </w:rPr>
            </w:pPr>
          </w:p>
        </w:tc>
        <w:tc>
          <w:tcPr>
            <w:tcW w:w="4860" w:type="dxa"/>
            <w:vAlign w:val="bottom"/>
          </w:tcPr>
          <w:p>
            <w:pPr>
              <w:spacing w:after="0"/>
              <w:rPr>
                <w:sz w:val="14"/>
                <w:szCs w:val="14"/>
                <w:color w:val="auto"/>
              </w:rPr>
            </w:pPr>
          </w:p>
        </w:tc>
      </w:tr>
      <w:tr>
        <w:trPr>
          <w:trHeight w:val="176"/>
        </w:trPr>
        <w:tc>
          <w:tcPr>
            <w:tcW w:w="46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231F20"/>
              </w:rPr>
              <w:t>Title of each class</w:t>
            </w:r>
          </w:p>
        </w:tc>
        <w:tc>
          <w:tcPr>
            <w:tcW w:w="1240" w:type="dxa"/>
            <w:vAlign w:val="bottom"/>
          </w:tcPr>
          <w:p>
            <w:pPr>
              <w:jc w:val="center"/>
              <w:ind w:right="327"/>
              <w:spacing w:after="0"/>
              <w:rPr>
                <w:sz w:val="20"/>
                <w:szCs w:val="20"/>
                <w:color w:val="auto"/>
              </w:rPr>
            </w:pPr>
            <w:r>
              <w:rPr>
                <w:rFonts w:ascii="Arial" w:cs="Arial" w:eastAsia="Arial" w:hAnsi="Arial"/>
                <w:sz w:val="14"/>
                <w:szCs w:val="14"/>
                <w:b w:val="1"/>
                <w:bCs w:val="1"/>
                <w:color w:val="231F20"/>
              </w:rPr>
              <w:t>Symbol(s)</w:t>
            </w:r>
          </w:p>
        </w:tc>
        <w:tc>
          <w:tcPr>
            <w:tcW w:w="100" w:type="dxa"/>
            <w:vAlign w:val="bottom"/>
          </w:tcPr>
          <w:p>
            <w:pPr>
              <w:spacing w:after="0"/>
              <w:rPr>
                <w:sz w:val="15"/>
                <w:szCs w:val="15"/>
                <w:color w:val="auto"/>
              </w:rPr>
            </w:pPr>
          </w:p>
        </w:tc>
        <w:tc>
          <w:tcPr>
            <w:tcW w:w="4860" w:type="dxa"/>
            <w:vAlign w:val="bottom"/>
          </w:tcPr>
          <w:p>
            <w:pPr>
              <w:jc w:val="center"/>
              <w:spacing w:after="0"/>
              <w:rPr>
                <w:sz w:val="20"/>
                <w:szCs w:val="20"/>
                <w:color w:val="auto"/>
              </w:rPr>
            </w:pPr>
            <w:r>
              <w:rPr>
                <w:rFonts w:ascii="Arial" w:cs="Arial" w:eastAsia="Arial" w:hAnsi="Arial"/>
                <w:sz w:val="14"/>
                <w:szCs w:val="14"/>
                <w:b w:val="1"/>
                <w:bCs w:val="1"/>
                <w:color w:val="231F20"/>
                <w:w w:val="99"/>
              </w:rPr>
              <w:t>Name of each exchange on which registered</w:t>
            </w:r>
          </w:p>
        </w:tc>
      </w:tr>
      <w:tr>
        <w:trPr>
          <w:trHeight w:val="205"/>
        </w:trPr>
        <w:tc>
          <w:tcPr>
            <w:tcW w:w="4100" w:type="dxa"/>
            <w:vAlign w:val="bottom"/>
            <w:tcBorders>
              <w:top w:val="single" w:sz="8" w:color="231F20"/>
            </w:tcBorders>
          </w:tcPr>
          <w:p>
            <w:pPr>
              <w:jc w:val="center"/>
              <w:spacing w:after="0"/>
              <w:rPr>
                <w:sz w:val="20"/>
                <w:szCs w:val="20"/>
                <w:color w:val="auto"/>
              </w:rPr>
            </w:pPr>
            <w:r>
              <w:rPr>
                <w:rFonts w:ascii="Arial" w:cs="Arial" w:eastAsia="Arial" w:hAnsi="Arial"/>
                <w:sz w:val="16"/>
                <w:szCs w:val="16"/>
                <w:color w:val="231F20"/>
                <w:w w:val="99"/>
              </w:rPr>
              <w:t>Common Stock, par value $0.00001 per share</w:t>
            </w:r>
          </w:p>
        </w:tc>
        <w:tc>
          <w:tcPr>
            <w:tcW w:w="120" w:type="dxa"/>
            <w:vAlign w:val="bottom"/>
          </w:tcPr>
          <w:p>
            <w:pPr>
              <w:spacing w:after="0"/>
              <w:rPr>
                <w:sz w:val="17"/>
                <w:szCs w:val="17"/>
                <w:color w:val="auto"/>
              </w:rPr>
            </w:pPr>
          </w:p>
        </w:tc>
        <w:tc>
          <w:tcPr>
            <w:tcW w:w="380" w:type="dxa"/>
            <w:vAlign w:val="bottom"/>
            <w:tcBorders>
              <w:top w:val="single" w:sz="8" w:color="231F20"/>
            </w:tcBorders>
          </w:tcPr>
          <w:p>
            <w:pPr>
              <w:spacing w:after="0"/>
              <w:rPr>
                <w:sz w:val="17"/>
                <w:szCs w:val="17"/>
                <w:color w:val="auto"/>
              </w:rPr>
            </w:pPr>
          </w:p>
        </w:tc>
        <w:tc>
          <w:tcPr>
            <w:tcW w:w="1240" w:type="dxa"/>
            <w:vAlign w:val="bottom"/>
            <w:tcBorders>
              <w:top w:val="single" w:sz="8" w:color="231F20"/>
            </w:tcBorders>
          </w:tcPr>
          <w:p>
            <w:pPr>
              <w:jc w:val="center"/>
              <w:ind w:right="327"/>
              <w:spacing w:after="0"/>
              <w:rPr>
                <w:sz w:val="20"/>
                <w:szCs w:val="20"/>
                <w:color w:val="auto"/>
              </w:rPr>
            </w:pPr>
            <w:r>
              <w:rPr>
                <w:rFonts w:ascii="Arial" w:cs="Arial" w:eastAsia="Arial" w:hAnsi="Arial"/>
                <w:sz w:val="16"/>
                <w:szCs w:val="16"/>
                <w:color w:val="231F20"/>
              </w:rPr>
              <w:t>ANTX</w:t>
            </w:r>
          </w:p>
        </w:tc>
        <w:tc>
          <w:tcPr>
            <w:tcW w:w="100" w:type="dxa"/>
            <w:vAlign w:val="bottom"/>
          </w:tcPr>
          <w:p>
            <w:pPr>
              <w:spacing w:after="0"/>
              <w:rPr>
                <w:sz w:val="17"/>
                <w:szCs w:val="17"/>
                <w:color w:val="auto"/>
              </w:rPr>
            </w:pPr>
          </w:p>
        </w:tc>
        <w:tc>
          <w:tcPr>
            <w:tcW w:w="4860" w:type="dxa"/>
            <w:vAlign w:val="bottom"/>
            <w:tcBorders>
              <w:top w:val="single" w:sz="8" w:color="231F20"/>
            </w:tcBorders>
          </w:tcPr>
          <w:p>
            <w:pPr>
              <w:jc w:val="center"/>
              <w:spacing w:after="0"/>
              <w:rPr>
                <w:sz w:val="20"/>
                <w:szCs w:val="20"/>
                <w:color w:val="auto"/>
              </w:rPr>
            </w:pPr>
            <w:r>
              <w:rPr>
                <w:rFonts w:ascii="Arial" w:cs="Arial" w:eastAsia="Arial" w:hAnsi="Arial"/>
                <w:sz w:val="16"/>
                <w:szCs w:val="16"/>
                <w:color w:val="231F20"/>
                <w:w w:val="99"/>
              </w:rPr>
              <w:t>The Nasdaq Global Select Market</w:t>
            </w:r>
          </w:p>
        </w:tc>
      </w:tr>
      <w:tr>
        <w:trPr>
          <w:trHeight w:val="233"/>
        </w:trPr>
        <w:tc>
          <w:tcPr>
            <w:tcW w:w="4600" w:type="dxa"/>
            <w:vAlign w:val="bottom"/>
            <w:gridSpan w:val="3"/>
          </w:tcPr>
          <w:p>
            <w:pPr>
              <w:spacing w:after="0"/>
              <w:rPr>
                <w:sz w:val="20"/>
                <w:szCs w:val="20"/>
                <w:color w:val="auto"/>
              </w:rPr>
            </w:pPr>
            <w:r>
              <w:rPr>
                <w:rFonts w:ascii="Arial" w:cs="Arial" w:eastAsia="Arial" w:hAnsi="Arial"/>
                <w:sz w:val="16"/>
                <w:szCs w:val="16"/>
                <w:color w:val="231F20"/>
              </w:rPr>
              <w:t xml:space="preserve">Securities registered pursuant to Section 12(g) of the Act: </w:t>
            </w:r>
            <w:r>
              <w:rPr>
                <w:rFonts w:ascii="Arial" w:cs="Arial" w:eastAsia="Arial" w:hAnsi="Arial"/>
                <w:sz w:val="16"/>
                <w:szCs w:val="16"/>
                <w:b w:val="1"/>
                <w:bCs w:val="1"/>
                <w:color w:val="231F20"/>
              </w:rPr>
              <w:t>None</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ind w:right="1540"/>
        <w:spacing w:after="0" w:line="265" w:lineRule="auto"/>
        <w:rPr>
          <w:sz w:val="20"/>
          <w:szCs w:val="20"/>
          <w:color w:val="auto"/>
        </w:rPr>
      </w:pPr>
      <w:r>
        <w:rPr>
          <w:rFonts w:ascii="Arial" w:cs="Arial" w:eastAsia="Arial" w:hAnsi="Arial"/>
          <w:sz w:val="16"/>
          <w:szCs w:val="16"/>
          <w:color w:val="231F20"/>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231F20"/>
        </w:rPr>
        <w:t>☐</w:t>
      </w:r>
      <w:r>
        <w:rPr>
          <w:rFonts w:ascii="Arial" w:cs="Arial" w:eastAsia="Arial" w:hAnsi="Arial"/>
          <w:sz w:val="16"/>
          <w:szCs w:val="16"/>
          <w:color w:val="231F20"/>
        </w:rPr>
        <w:t xml:space="preserve"> No </w:t>
      </w:r>
      <w:r>
        <w:rPr>
          <w:rFonts w:ascii="Segoe UI Symbol" w:cs="Segoe UI Symbol" w:eastAsia="Segoe UI Symbol" w:hAnsi="Segoe UI Symbol"/>
          <w:sz w:val="16"/>
          <w:szCs w:val="16"/>
          <w:color w:val="231F20"/>
        </w:rPr>
        <w:t>☒</w:t>
      </w:r>
      <w:r>
        <w:rPr>
          <w:rFonts w:ascii="Arial" w:cs="Arial" w:eastAsia="Arial" w:hAnsi="Arial"/>
          <w:sz w:val="16"/>
          <w:szCs w:val="16"/>
          <w:color w:val="231F20"/>
        </w:rPr>
        <w:t xml:space="preserve"> Indicate by check mark if the Registrant is not required to file reports pursuant to Section 13 or 15(d) of the Act. Yes </w:t>
      </w:r>
      <w:r>
        <w:rPr>
          <w:rFonts w:ascii="Segoe UI Symbol" w:cs="Segoe UI Symbol" w:eastAsia="Segoe UI Symbol" w:hAnsi="Segoe UI Symbol"/>
          <w:sz w:val="16"/>
          <w:szCs w:val="16"/>
          <w:color w:val="231F20"/>
        </w:rPr>
        <w:t>☐</w:t>
      </w:r>
      <w:r>
        <w:rPr>
          <w:rFonts w:ascii="Arial" w:cs="Arial" w:eastAsia="Arial" w:hAnsi="Arial"/>
          <w:sz w:val="16"/>
          <w:szCs w:val="16"/>
          <w:color w:val="231F20"/>
        </w:rPr>
        <w:t xml:space="preserve"> No </w:t>
      </w:r>
      <w:r>
        <w:rPr>
          <w:rFonts w:ascii="Segoe UI Symbol" w:cs="Segoe UI Symbol" w:eastAsia="Segoe UI Symbol" w:hAnsi="Segoe UI Symbol"/>
          <w:sz w:val="16"/>
          <w:szCs w:val="16"/>
          <w:color w:val="231F20"/>
        </w:rPr>
        <w:t>☒</w:t>
      </w:r>
    </w:p>
    <w:p>
      <w:pPr>
        <w:spacing w:after="0" w:line="1" w:lineRule="exact"/>
        <w:rPr>
          <w:sz w:val="24"/>
          <w:szCs w:val="24"/>
          <w:color w:val="auto"/>
        </w:rPr>
      </w:pPr>
    </w:p>
    <w:p>
      <w:pPr>
        <w:ind w:right="40"/>
        <w:spacing w:after="0" w:line="236" w:lineRule="auto"/>
        <w:rPr>
          <w:sz w:val="20"/>
          <w:szCs w:val="20"/>
          <w:color w:val="auto"/>
        </w:rPr>
      </w:pPr>
      <w:r>
        <w:rPr>
          <w:rFonts w:ascii="Arial" w:cs="Arial" w:eastAsia="Arial" w:hAnsi="Arial"/>
          <w:sz w:val="16"/>
          <w:szCs w:val="16"/>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231F20"/>
        </w:rPr>
        <w:t xml:space="preserve">requirements for the past 90 days. Yes </w:t>
      </w:r>
      <w:r>
        <w:rPr>
          <w:rFonts w:ascii="Segoe UI Symbol" w:cs="Segoe UI Symbol" w:eastAsia="Segoe UI Symbol" w:hAnsi="Segoe UI Symbol"/>
          <w:sz w:val="16"/>
          <w:szCs w:val="16"/>
          <w:color w:val="231F20"/>
        </w:rPr>
        <w:t>☒</w:t>
      </w:r>
      <w:r>
        <w:rPr>
          <w:rFonts w:ascii="Arial" w:cs="Arial" w:eastAsia="Arial" w:hAnsi="Arial"/>
          <w:sz w:val="16"/>
          <w:szCs w:val="16"/>
          <w:color w:val="231F20"/>
        </w:rPr>
        <w:t xml:space="preserve"> No </w:t>
      </w:r>
      <w:r>
        <w:rPr>
          <w:rFonts w:ascii="Segoe UI Symbol" w:cs="Segoe UI Symbol" w:eastAsia="Segoe UI Symbol" w:hAnsi="Segoe UI Symbol"/>
          <w:sz w:val="16"/>
          <w:szCs w:val="16"/>
          <w:color w:val="231F20"/>
        </w:rPr>
        <w:t>☐</w:t>
      </w:r>
    </w:p>
    <w:p>
      <w:pPr>
        <w:spacing w:after="0" w:line="25" w:lineRule="exact"/>
        <w:rPr>
          <w:sz w:val="24"/>
          <w:szCs w:val="24"/>
          <w:color w:val="auto"/>
        </w:rPr>
      </w:pPr>
    </w:p>
    <w:p>
      <w:pPr>
        <w:ind w:right="120"/>
        <w:spacing w:after="0" w:line="252" w:lineRule="auto"/>
        <w:rPr>
          <w:sz w:val="20"/>
          <w:szCs w:val="20"/>
          <w:color w:val="auto"/>
        </w:rPr>
      </w:pPr>
      <w:r>
        <w:rPr>
          <w:rFonts w:ascii="Arial" w:cs="Arial" w:eastAsia="Arial" w:hAnsi="Arial"/>
          <w:sz w:val="15"/>
          <w:szCs w:val="15"/>
          <w:color w:val="231F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231F20"/>
        </w:rPr>
        <w:t xml:space="preserve">files). Yes </w:t>
      </w:r>
      <w:r>
        <w:rPr>
          <w:rFonts w:ascii="Segoe UI Symbol" w:cs="Segoe UI Symbol" w:eastAsia="Segoe UI Symbol" w:hAnsi="Segoe UI Symbol"/>
          <w:sz w:val="16"/>
          <w:szCs w:val="16"/>
          <w:color w:val="231F20"/>
        </w:rPr>
        <w:t>☒</w:t>
      </w:r>
      <w:r>
        <w:rPr>
          <w:rFonts w:ascii="Arial" w:cs="Arial" w:eastAsia="Arial" w:hAnsi="Arial"/>
          <w:sz w:val="16"/>
          <w:szCs w:val="16"/>
          <w:color w:val="231F20"/>
        </w:rPr>
        <w:t xml:space="preserve"> No </w:t>
      </w:r>
      <w:r>
        <w:rPr>
          <w:rFonts w:ascii="Segoe UI Symbol" w:cs="Segoe UI Symbol" w:eastAsia="Segoe UI Symbol" w:hAnsi="Segoe UI Symbol"/>
          <w:sz w:val="16"/>
          <w:szCs w:val="16"/>
          <w:color w:val="231F20"/>
        </w:rPr>
        <w:t>☐</w:t>
      </w:r>
    </w:p>
    <w:p>
      <w:pPr>
        <w:spacing w:after="0" w:line="25" w:lineRule="exact"/>
        <w:rPr>
          <w:sz w:val="24"/>
          <w:szCs w:val="24"/>
          <w:color w:val="auto"/>
        </w:rPr>
      </w:pPr>
    </w:p>
    <w:p>
      <w:pPr>
        <w:ind w:right="40"/>
        <w:spacing w:after="0" w:line="248" w:lineRule="auto"/>
        <w:rPr>
          <w:sz w:val="20"/>
          <w:szCs w:val="20"/>
          <w:color w:val="auto"/>
        </w:rPr>
      </w:pPr>
      <w:r>
        <w:rPr>
          <w:rFonts w:ascii="Arial" w:cs="Arial" w:eastAsia="Arial" w:hAnsi="Arial"/>
          <w:sz w:val="16"/>
          <w:szCs w:val="16"/>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920" w:type="dxa"/>
            <w:vAlign w:val="bottom"/>
          </w:tcPr>
          <w:p>
            <w:pPr>
              <w:spacing w:after="0"/>
              <w:rPr>
                <w:sz w:val="20"/>
                <w:szCs w:val="20"/>
                <w:color w:val="auto"/>
              </w:rPr>
            </w:pPr>
            <w:r>
              <w:rPr>
                <w:rFonts w:ascii="Arial" w:cs="Arial" w:eastAsia="Arial" w:hAnsi="Arial"/>
                <w:sz w:val="17"/>
                <w:szCs w:val="17"/>
                <w:color w:val="231F20"/>
              </w:rPr>
              <w:t>Large accelerated filer</w:t>
            </w:r>
          </w:p>
        </w:tc>
        <w:tc>
          <w:tcPr>
            <w:tcW w:w="3380" w:type="dxa"/>
            <w:vAlign w:val="bottom"/>
          </w:tcPr>
          <w:p>
            <w:pPr>
              <w:ind w:left="260"/>
              <w:spacing w:after="0"/>
              <w:rPr>
                <w:sz w:val="20"/>
                <w:szCs w:val="20"/>
                <w:color w:val="auto"/>
              </w:rPr>
            </w:pPr>
            <w:r>
              <w:rPr>
                <w:rFonts w:ascii="Segoe UI Symbol" w:cs="Segoe UI Symbol" w:eastAsia="Segoe UI Symbol" w:hAnsi="Segoe UI Symbol"/>
                <w:sz w:val="17"/>
                <w:szCs w:val="17"/>
                <w:color w:val="231F20"/>
              </w:rPr>
              <w:t>☐</w:t>
            </w:r>
          </w:p>
        </w:tc>
        <w:tc>
          <w:tcPr>
            <w:tcW w:w="5160" w:type="dxa"/>
            <w:vAlign w:val="bottom"/>
          </w:tcPr>
          <w:p>
            <w:pPr>
              <w:ind w:left="3000"/>
              <w:spacing w:after="0"/>
              <w:rPr>
                <w:sz w:val="20"/>
                <w:szCs w:val="20"/>
                <w:color w:val="auto"/>
              </w:rPr>
            </w:pPr>
            <w:r>
              <w:rPr>
                <w:rFonts w:ascii="Arial" w:cs="Arial" w:eastAsia="Arial" w:hAnsi="Arial"/>
                <w:sz w:val="17"/>
                <w:szCs w:val="17"/>
                <w:color w:val="231F20"/>
              </w:rPr>
              <w:t>Accelerated filer</w:t>
            </w:r>
          </w:p>
        </w:tc>
        <w:tc>
          <w:tcPr>
            <w:tcW w:w="280" w:type="dxa"/>
            <w:vAlign w:val="bottom"/>
          </w:tcPr>
          <w:p>
            <w:pPr>
              <w:ind w:left="140"/>
              <w:spacing w:after="0"/>
              <w:rPr>
                <w:sz w:val="20"/>
                <w:szCs w:val="20"/>
                <w:color w:val="auto"/>
              </w:rPr>
            </w:pPr>
            <w:r>
              <w:rPr>
                <w:rFonts w:ascii="Segoe UI Symbol" w:cs="Segoe UI Symbol" w:eastAsia="Segoe UI Symbol" w:hAnsi="Segoe UI Symbol"/>
                <w:sz w:val="17"/>
                <w:szCs w:val="17"/>
                <w:color w:val="231F20"/>
                <w:w w:val="81"/>
              </w:rPr>
              <w:t>☐</w:t>
            </w:r>
          </w:p>
        </w:tc>
      </w:tr>
      <w:tr>
        <w:trPr>
          <w:trHeight w:val="227"/>
        </w:trPr>
        <w:tc>
          <w:tcPr>
            <w:tcW w:w="1920" w:type="dxa"/>
            <w:vAlign w:val="bottom"/>
          </w:tcPr>
          <w:p>
            <w:pPr>
              <w:spacing w:after="0"/>
              <w:rPr>
                <w:sz w:val="20"/>
                <w:szCs w:val="20"/>
                <w:color w:val="auto"/>
              </w:rPr>
            </w:pPr>
            <w:r>
              <w:rPr>
                <w:rFonts w:ascii="Arial" w:cs="Arial" w:eastAsia="Arial" w:hAnsi="Arial"/>
                <w:sz w:val="17"/>
                <w:szCs w:val="17"/>
                <w:color w:val="231F20"/>
              </w:rPr>
              <w:t>Non-accelerated filer</w:t>
            </w:r>
          </w:p>
        </w:tc>
        <w:tc>
          <w:tcPr>
            <w:tcW w:w="3380" w:type="dxa"/>
            <w:vAlign w:val="bottom"/>
          </w:tcPr>
          <w:p>
            <w:pPr>
              <w:ind w:left="260"/>
              <w:spacing w:after="0"/>
              <w:rPr>
                <w:sz w:val="20"/>
                <w:szCs w:val="20"/>
                <w:color w:val="auto"/>
              </w:rPr>
            </w:pPr>
            <w:r>
              <w:rPr>
                <w:rFonts w:ascii="Segoe UI Symbol" w:cs="Segoe UI Symbol" w:eastAsia="Segoe UI Symbol" w:hAnsi="Segoe UI Symbol"/>
                <w:sz w:val="16"/>
                <w:szCs w:val="16"/>
                <w:color w:val="231F20"/>
              </w:rPr>
              <w:t>☒</w:t>
            </w:r>
          </w:p>
        </w:tc>
        <w:tc>
          <w:tcPr>
            <w:tcW w:w="5160" w:type="dxa"/>
            <w:vAlign w:val="bottom"/>
          </w:tcPr>
          <w:p>
            <w:pPr>
              <w:ind w:left="3000"/>
              <w:spacing w:after="0"/>
              <w:rPr>
                <w:sz w:val="20"/>
                <w:szCs w:val="20"/>
                <w:color w:val="auto"/>
              </w:rPr>
            </w:pPr>
            <w:r>
              <w:rPr>
                <w:rFonts w:ascii="Arial" w:cs="Arial" w:eastAsia="Arial" w:hAnsi="Arial"/>
                <w:sz w:val="17"/>
                <w:szCs w:val="17"/>
                <w:color w:val="231F20"/>
              </w:rPr>
              <w:t>Smaller reporting company</w:t>
            </w:r>
          </w:p>
        </w:tc>
        <w:tc>
          <w:tcPr>
            <w:tcW w:w="280" w:type="dxa"/>
            <w:vAlign w:val="bottom"/>
          </w:tcPr>
          <w:p>
            <w:pPr>
              <w:ind w:left="140"/>
              <w:spacing w:after="0"/>
              <w:rPr>
                <w:sz w:val="20"/>
                <w:szCs w:val="20"/>
                <w:color w:val="auto"/>
              </w:rPr>
            </w:pPr>
            <w:r>
              <w:rPr>
                <w:rFonts w:ascii="Segoe UI Symbol" w:cs="Segoe UI Symbol" w:eastAsia="Segoe UI Symbol" w:hAnsi="Segoe UI Symbol"/>
                <w:sz w:val="16"/>
                <w:szCs w:val="16"/>
                <w:color w:val="231F20"/>
                <w:w w:val="86"/>
              </w:rPr>
              <w:t>☒</w:t>
            </w:r>
          </w:p>
        </w:tc>
      </w:tr>
      <w:tr>
        <w:trPr>
          <w:trHeight w:val="261"/>
        </w:trPr>
        <w:tc>
          <w:tcPr>
            <w:tcW w:w="1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5160" w:type="dxa"/>
            <w:vAlign w:val="bottom"/>
          </w:tcPr>
          <w:p>
            <w:pPr>
              <w:ind w:left="3000"/>
              <w:spacing w:after="0"/>
              <w:rPr>
                <w:sz w:val="20"/>
                <w:szCs w:val="20"/>
                <w:color w:val="auto"/>
              </w:rPr>
            </w:pPr>
            <w:r>
              <w:rPr>
                <w:rFonts w:ascii="Arial" w:cs="Arial" w:eastAsia="Arial" w:hAnsi="Arial"/>
                <w:sz w:val="17"/>
                <w:szCs w:val="17"/>
                <w:color w:val="231F20"/>
              </w:rPr>
              <w:t>Emerging growth company</w:t>
            </w:r>
          </w:p>
        </w:tc>
        <w:tc>
          <w:tcPr>
            <w:tcW w:w="280" w:type="dxa"/>
            <w:vAlign w:val="bottom"/>
          </w:tcPr>
          <w:p>
            <w:pPr>
              <w:ind w:left="140"/>
              <w:spacing w:after="0"/>
              <w:rPr>
                <w:sz w:val="20"/>
                <w:szCs w:val="20"/>
                <w:color w:val="auto"/>
              </w:rPr>
            </w:pPr>
            <w:r>
              <w:rPr>
                <w:rFonts w:ascii="Segoe UI Symbol" w:cs="Segoe UI Symbol" w:eastAsia="Segoe UI Symbol" w:hAnsi="Segoe UI Symbol"/>
                <w:sz w:val="16"/>
                <w:szCs w:val="16"/>
                <w:color w:val="231F20"/>
                <w:w w:val="86"/>
              </w:rPr>
              <w:t>☒</w:t>
            </w:r>
          </w:p>
        </w:tc>
      </w:tr>
    </w:tbl>
    <w:p>
      <w:pPr>
        <w:spacing w:after="0" w:line="24" w:lineRule="exact"/>
        <w:rPr>
          <w:sz w:val="24"/>
          <w:szCs w:val="24"/>
          <w:color w:val="auto"/>
        </w:rPr>
      </w:pPr>
    </w:p>
    <w:p>
      <w:pPr>
        <w:ind w:right="20"/>
        <w:spacing w:after="0" w:line="252" w:lineRule="auto"/>
        <w:rPr>
          <w:sz w:val="20"/>
          <w:szCs w:val="20"/>
          <w:color w:val="auto"/>
        </w:rPr>
      </w:pPr>
      <w:r>
        <w:rPr>
          <w:rFonts w:ascii="Arial" w:cs="Arial" w:eastAsia="Arial" w:hAnsi="Arial"/>
          <w:sz w:val="16"/>
          <w:szCs w:val="16"/>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231F20"/>
        </w:rPr>
        <w:t>☐</w:t>
      </w:r>
    </w:p>
    <w:p>
      <w:pPr>
        <w:ind w:right="260"/>
        <w:spacing w:after="0" w:line="236" w:lineRule="auto"/>
        <w:rPr>
          <w:sz w:val="20"/>
          <w:szCs w:val="20"/>
          <w:color w:val="auto"/>
        </w:rPr>
      </w:pPr>
      <w:r>
        <w:rPr>
          <w:rFonts w:ascii="Arial" w:cs="Arial" w:eastAsia="Arial" w:hAnsi="Arial"/>
          <w:sz w:val="16"/>
          <w:szCs w:val="16"/>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231F20"/>
        </w:rPr>
        <w:t xml:space="preserve">prepared or issued its audit report. </w:t>
      </w:r>
      <w:r>
        <w:rPr>
          <w:rFonts w:ascii="Segoe UI Symbol" w:cs="Segoe UI Symbol" w:eastAsia="Segoe UI Symbol" w:hAnsi="Segoe UI Symbol"/>
          <w:sz w:val="17"/>
          <w:szCs w:val="17"/>
          <w:color w:val="231F20"/>
        </w:rPr>
        <w:t>☐</w:t>
      </w:r>
    </w:p>
    <w:p>
      <w:pPr>
        <w:spacing w:after="0" w:line="25" w:lineRule="exact"/>
        <w:rPr>
          <w:sz w:val="24"/>
          <w:szCs w:val="24"/>
          <w:color w:val="auto"/>
        </w:rPr>
      </w:pPr>
    </w:p>
    <w:p>
      <w:pPr>
        <w:ind w:right="120"/>
        <w:spacing w:after="0" w:line="241" w:lineRule="auto"/>
        <w:rPr>
          <w:sz w:val="20"/>
          <w:szCs w:val="20"/>
          <w:color w:val="auto"/>
        </w:rPr>
      </w:pPr>
      <w:r>
        <w:rPr>
          <w:rFonts w:ascii="Arial" w:cs="Arial" w:eastAsia="Arial" w:hAnsi="Arial"/>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231F20"/>
        </w:rPr>
        <w:t>☐</w:t>
      </w:r>
    </w:p>
    <w:p>
      <w:pPr>
        <w:spacing w:after="0" w:line="1" w:lineRule="exact"/>
        <w:rPr>
          <w:sz w:val="24"/>
          <w:szCs w:val="24"/>
          <w:color w:val="auto"/>
        </w:rPr>
      </w:pPr>
    </w:p>
    <w:p>
      <w:pPr>
        <w:ind w:right="440"/>
        <w:spacing w:after="0" w:line="250" w:lineRule="auto"/>
        <w:rPr>
          <w:sz w:val="20"/>
          <w:szCs w:val="20"/>
          <w:color w:val="auto"/>
        </w:rPr>
      </w:pPr>
      <w:r>
        <w:rPr>
          <w:rFonts w:ascii="Arial" w:cs="Arial" w:eastAsia="Arial" w:hAnsi="Arial"/>
          <w:sz w:val="16"/>
          <w:szCs w:val="16"/>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231F20"/>
        </w:rPr>
        <w:t>☐</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231F20"/>
        </w:rPr>
        <w:t xml:space="preserve">Indicate by check mark whether the Registrant is a shell company (as defined in Rule 12b-2 of the Exchange Act). Yes </w:t>
      </w:r>
      <w:r>
        <w:rPr>
          <w:rFonts w:ascii="Segoe UI Symbol" w:cs="Segoe UI Symbol" w:eastAsia="Segoe UI Symbol" w:hAnsi="Segoe UI Symbol"/>
          <w:sz w:val="16"/>
          <w:szCs w:val="16"/>
          <w:color w:val="231F20"/>
        </w:rPr>
        <w:t>☐</w:t>
      </w:r>
      <w:r>
        <w:rPr>
          <w:rFonts w:ascii="Arial" w:cs="Arial" w:eastAsia="Arial" w:hAnsi="Arial"/>
          <w:sz w:val="16"/>
          <w:szCs w:val="16"/>
          <w:color w:val="231F20"/>
        </w:rPr>
        <w:t xml:space="preserve"> No </w:t>
      </w:r>
      <w:r>
        <w:rPr>
          <w:rFonts w:ascii="Segoe UI Symbol" w:cs="Segoe UI Symbol" w:eastAsia="Segoe UI Symbol" w:hAnsi="Segoe UI Symbol"/>
          <w:sz w:val="16"/>
          <w:szCs w:val="16"/>
          <w:color w:val="231F20"/>
        </w:rPr>
        <w:t>☒</w:t>
      </w:r>
    </w:p>
    <w:p>
      <w:pPr>
        <w:spacing w:after="0" w:line="25" w:lineRule="exact"/>
        <w:rPr>
          <w:sz w:val="24"/>
          <w:szCs w:val="24"/>
          <w:color w:val="auto"/>
        </w:rPr>
      </w:pPr>
    </w:p>
    <w:p>
      <w:pPr>
        <w:spacing w:after="0" w:line="248" w:lineRule="auto"/>
        <w:rPr>
          <w:sz w:val="20"/>
          <w:szCs w:val="20"/>
          <w:color w:val="auto"/>
        </w:rPr>
      </w:pPr>
      <w:r>
        <w:rPr>
          <w:rFonts w:ascii="Arial" w:cs="Arial" w:eastAsia="Arial" w:hAnsi="Arial"/>
          <w:sz w:val="16"/>
          <w:szCs w:val="16"/>
          <w:color w:val="231F20"/>
        </w:rPr>
        <w:t>The aggregate market value of the voting and non-voting common equity held by non-affiliates of the Registrant, based on the closing price of the shares of common stock on the Nasdaq Global Select Market on June 30, 2025, was $23,078,812.</w:t>
      </w:r>
    </w:p>
    <w:p>
      <w:pPr>
        <w:spacing w:after="0" w:line="1" w:lineRule="exact"/>
        <w:rPr>
          <w:sz w:val="24"/>
          <w:szCs w:val="24"/>
          <w:color w:val="auto"/>
        </w:rPr>
      </w:pPr>
    </w:p>
    <w:p>
      <w:pPr>
        <w:ind w:right="200"/>
        <w:spacing w:after="0" w:line="251" w:lineRule="auto"/>
        <w:rPr>
          <w:sz w:val="20"/>
          <w:szCs w:val="20"/>
          <w:color w:val="auto"/>
        </w:rPr>
      </w:pPr>
      <w:r>
        <w:rPr>
          <w:rFonts w:ascii="Arial" w:cs="Arial" w:eastAsia="Arial" w:hAnsi="Arial"/>
          <w:sz w:val="16"/>
          <w:szCs w:val="16"/>
          <w:color w:val="231F20"/>
        </w:rPr>
        <w:t>The number of shares of Registrant’s Common Stock outstanding as of March 10, 2026 was 35,941,195 shares of common stock, par value $0.00001 per share, outstanding.</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231F20"/>
        </w:rPr>
        <w:t>DOCUMENTS INCORPORATED BY REFERENCE</w:t>
      </w:r>
    </w:p>
    <w:p>
      <w:pPr>
        <w:spacing w:after="0" w:line="29" w:lineRule="exact"/>
        <w:rPr>
          <w:sz w:val="24"/>
          <w:szCs w:val="24"/>
          <w:color w:val="auto"/>
        </w:rPr>
      </w:pPr>
    </w:p>
    <w:p>
      <w:pPr>
        <w:ind w:right="280"/>
        <w:spacing w:after="0" w:line="256" w:lineRule="auto"/>
        <w:rPr>
          <w:sz w:val="20"/>
          <w:szCs w:val="20"/>
          <w:color w:val="auto"/>
        </w:rPr>
      </w:pPr>
      <w:r>
        <w:rPr>
          <w:rFonts w:ascii="Arial" w:cs="Arial" w:eastAsia="Arial" w:hAnsi="Arial"/>
          <w:sz w:val="16"/>
          <w:szCs w:val="16"/>
          <w:color w:val="231F20"/>
        </w:rPr>
        <w:t>Portions of the Registrant’s definitive proxy statement for its 2025 annual meeting of stockholders is incorporated by reference in Item 5 of Part II and Items 10, 11, 12, 13 and 14 of Part III.</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8580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40pt,1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31750</wp:posOffset>
                </wp:positionV>
                <wp:extent cx="68580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40pt,2.5pt" o:allowincell="f" strokecolor="#231F20" strokeweight="0.75pt"/>
            </w:pict>
          </mc:Fallback>
        </mc:AlternateContent>
      </w:r>
    </w:p>
    <w:p>
      <w:pPr>
        <w:sectPr>
          <w:pgSz w:w="11880" w:h="15480" w:orient="portrait"/>
          <w:cols w:equalWidth="0" w:num="1">
            <w:col w:w="10800"/>
          </w:cols>
          <w:pgMar w:left="540" w:top="917" w:right="540" w:bottom="70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5"/>
        </w:trPr>
        <w:tc>
          <w:tcPr>
            <w:tcW w:w="1000" w:type="dxa"/>
            <w:vAlign w:val="bottom"/>
          </w:tcPr>
          <w:p>
            <w:pPr>
              <w:spacing w:after="0"/>
              <w:rPr>
                <w:sz w:val="24"/>
                <w:szCs w:val="24"/>
                <w:color w:val="auto"/>
              </w:rPr>
            </w:pPr>
          </w:p>
        </w:tc>
        <w:tc>
          <w:tcPr>
            <w:tcW w:w="9040" w:type="dxa"/>
            <w:vAlign w:val="bottom"/>
          </w:tcPr>
          <w:p>
            <w:pPr>
              <w:ind w:left="3560"/>
              <w:spacing w:after="0"/>
              <w:rPr>
                <w:sz w:val="20"/>
                <w:szCs w:val="20"/>
                <w:color w:val="auto"/>
              </w:rPr>
            </w:pPr>
            <w:r>
              <w:rPr>
                <w:rFonts w:ascii="Arial" w:cs="Arial" w:eastAsia="Arial" w:hAnsi="Arial"/>
                <w:sz w:val="20"/>
                <w:szCs w:val="20"/>
                <w:b w:val="1"/>
                <w:bCs w:val="1"/>
                <w:color w:val="231F20"/>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000" w:type="dxa"/>
            <w:vAlign w:val="bottom"/>
            <w:vMerge w:val="restart"/>
          </w:tcPr>
          <w:p>
            <w:pPr>
              <w:spacing w:after="0"/>
              <w:rPr>
                <w:sz w:val="20"/>
                <w:szCs w:val="20"/>
                <w:color w:val="auto"/>
              </w:rPr>
            </w:pPr>
            <w:r>
              <w:rPr>
                <w:rFonts w:ascii="Arial" w:cs="Arial" w:eastAsia="Arial" w:hAnsi="Arial"/>
                <w:sz w:val="20"/>
                <w:szCs w:val="20"/>
                <w:b w:val="1"/>
                <w:bCs w:val="1"/>
                <w:color w:val="231F20"/>
              </w:rPr>
              <w:t>PART I</w:t>
            </w:r>
          </w:p>
        </w:tc>
        <w:tc>
          <w:tcPr>
            <w:tcW w:w="9040" w:type="dxa"/>
            <w:vAlign w:val="bottom"/>
          </w:tcPr>
          <w:p>
            <w:pPr>
              <w:spacing w:after="0"/>
              <w:rPr>
                <w:sz w:val="24"/>
                <w:szCs w:val="24"/>
                <w:color w:val="auto"/>
              </w:rPr>
            </w:pPr>
          </w:p>
        </w:tc>
        <w:tc>
          <w:tcPr>
            <w:tcW w:w="760" w:type="dxa"/>
            <w:vAlign w:val="bottom"/>
            <w:tcBorders>
              <w:bottom w:val="single" w:sz="8" w:color="231F20"/>
            </w:tcBorders>
          </w:tcPr>
          <w:p>
            <w:pPr>
              <w:jc w:val="right"/>
              <w:ind w:right="101"/>
              <w:spacing w:after="0"/>
              <w:rPr>
                <w:sz w:val="20"/>
                <w:szCs w:val="20"/>
                <w:color w:val="auto"/>
              </w:rPr>
            </w:pPr>
            <w:r>
              <w:rPr>
                <w:rFonts w:ascii="Arial" w:cs="Arial" w:eastAsia="Arial" w:hAnsi="Arial"/>
                <w:sz w:val="16"/>
                <w:szCs w:val="16"/>
                <w:b w:val="1"/>
                <w:bCs w:val="1"/>
                <w:color w:val="231F20"/>
              </w:rPr>
              <w:t>Page</w:t>
            </w:r>
          </w:p>
        </w:tc>
        <w:tc>
          <w:tcPr>
            <w:tcW w:w="0" w:type="dxa"/>
            <w:vAlign w:val="bottom"/>
          </w:tcPr>
          <w:p>
            <w:pPr>
              <w:spacing w:after="0"/>
              <w:rPr>
                <w:sz w:val="1"/>
                <w:szCs w:val="1"/>
                <w:color w:val="auto"/>
              </w:rPr>
            </w:pPr>
          </w:p>
        </w:tc>
      </w:tr>
      <w:tr>
        <w:trPr>
          <w:trHeight w:val="226"/>
        </w:trPr>
        <w:tc>
          <w:tcPr>
            <w:tcW w:w="1000" w:type="dxa"/>
            <w:vAlign w:val="bottom"/>
            <w:vMerge w:val="continue"/>
          </w:tcPr>
          <w:p>
            <w:pPr>
              <w:spacing w:after="0"/>
              <w:rPr>
                <w:sz w:val="19"/>
                <w:szCs w:val="19"/>
                <w:color w:val="auto"/>
              </w:rPr>
            </w:pPr>
          </w:p>
        </w:tc>
        <w:tc>
          <w:tcPr>
            <w:tcW w:w="9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1.</w:t>
            </w:r>
          </w:p>
        </w:tc>
        <w:tc>
          <w:tcPr>
            <w:tcW w:w="9040" w:type="dxa"/>
            <w:vAlign w:val="bottom"/>
          </w:tcPr>
          <w:p>
            <w:pPr>
              <w:ind w:left="100"/>
              <w:spacing w:after="0"/>
              <w:rPr>
                <w:sz w:val="20"/>
                <w:szCs w:val="20"/>
                <w:color w:val="auto"/>
              </w:rPr>
            </w:pPr>
            <w:r>
              <w:rPr>
                <w:rFonts w:ascii="Arial" w:cs="Arial" w:eastAsia="Arial" w:hAnsi="Arial"/>
                <w:sz w:val="20"/>
                <w:szCs w:val="20"/>
                <w:color w:val="231F20"/>
              </w:rPr>
              <w:t>Business</w:t>
            </w:r>
          </w:p>
        </w:tc>
        <w:tc>
          <w:tcPr>
            <w:tcW w:w="760" w:type="dxa"/>
            <w:vAlign w:val="bottom"/>
          </w:tcPr>
          <w:p>
            <w:pPr>
              <w:jc w:val="right"/>
              <w:spacing w:after="0"/>
              <w:rPr>
                <w:sz w:val="20"/>
                <w:szCs w:val="20"/>
                <w:color w:val="auto"/>
              </w:rPr>
            </w:pPr>
            <w:r>
              <w:rPr>
                <w:rFonts w:ascii="Arial" w:cs="Arial" w:eastAsia="Arial" w:hAnsi="Arial"/>
                <w:sz w:val="20"/>
                <w:szCs w:val="20"/>
                <w:color w:val="231F20"/>
              </w:rPr>
              <w:t>3</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1A.</w:t>
            </w:r>
          </w:p>
        </w:tc>
        <w:tc>
          <w:tcPr>
            <w:tcW w:w="9040" w:type="dxa"/>
            <w:vAlign w:val="bottom"/>
          </w:tcPr>
          <w:p>
            <w:pPr>
              <w:ind w:left="100"/>
              <w:spacing w:after="0"/>
              <w:rPr>
                <w:sz w:val="20"/>
                <w:szCs w:val="20"/>
                <w:color w:val="auto"/>
              </w:rPr>
            </w:pPr>
            <w:r>
              <w:rPr>
                <w:rFonts w:ascii="Arial" w:cs="Arial" w:eastAsia="Arial" w:hAnsi="Arial"/>
                <w:sz w:val="20"/>
                <w:szCs w:val="20"/>
                <w:color w:val="231F20"/>
              </w:rPr>
              <w:t>Risk Factors</w:t>
            </w:r>
          </w:p>
        </w:tc>
        <w:tc>
          <w:tcPr>
            <w:tcW w:w="760" w:type="dxa"/>
            <w:vAlign w:val="bottom"/>
          </w:tcPr>
          <w:p>
            <w:pPr>
              <w:jc w:val="right"/>
              <w:spacing w:after="0"/>
              <w:rPr>
                <w:sz w:val="20"/>
                <w:szCs w:val="20"/>
                <w:color w:val="auto"/>
              </w:rPr>
            </w:pPr>
            <w:r>
              <w:rPr>
                <w:rFonts w:ascii="Arial" w:cs="Arial" w:eastAsia="Arial" w:hAnsi="Arial"/>
                <w:sz w:val="20"/>
                <w:szCs w:val="20"/>
                <w:color w:val="231F20"/>
              </w:rPr>
              <w:t>22</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1B.</w:t>
            </w:r>
          </w:p>
        </w:tc>
        <w:tc>
          <w:tcPr>
            <w:tcW w:w="9040" w:type="dxa"/>
            <w:vAlign w:val="bottom"/>
          </w:tcPr>
          <w:p>
            <w:pPr>
              <w:ind w:left="100"/>
              <w:spacing w:after="0"/>
              <w:rPr>
                <w:sz w:val="20"/>
                <w:szCs w:val="20"/>
                <w:color w:val="auto"/>
              </w:rPr>
            </w:pPr>
            <w:r>
              <w:rPr>
                <w:rFonts w:ascii="Arial" w:cs="Arial" w:eastAsia="Arial" w:hAnsi="Arial"/>
                <w:sz w:val="20"/>
                <w:szCs w:val="20"/>
                <w:color w:val="231F20"/>
              </w:rPr>
              <w:t>Unresolved Staff Comments</w:t>
            </w:r>
          </w:p>
        </w:tc>
        <w:tc>
          <w:tcPr>
            <w:tcW w:w="760" w:type="dxa"/>
            <w:vAlign w:val="bottom"/>
          </w:tcPr>
          <w:p>
            <w:pPr>
              <w:jc w:val="right"/>
              <w:spacing w:after="0"/>
              <w:rPr>
                <w:sz w:val="20"/>
                <w:szCs w:val="20"/>
                <w:color w:val="auto"/>
              </w:rPr>
            </w:pPr>
            <w:r>
              <w:rPr>
                <w:rFonts w:ascii="Arial" w:cs="Arial" w:eastAsia="Arial" w:hAnsi="Arial"/>
                <w:sz w:val="20"/>
                <w:szCs w:val="20"/>
                <w:color w:val="231F20"/>
              </w:rPr>
              <w:t>68</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1C.</w:t>
            </w:r>
          </w:p>
        </w:tc>
        <w:tc>
          <w:tcPr>
            <w:tcW w:w="9040" w:type="dxa"/>
            <w:vAlign w:val="bottom"/>
          </w:tcPr>
          <w:p>
            <w:pPr>
              <w:ind w:left="100"/>
              <w:spacing w:after="0"/>
              <w:rPr>
                <w:sz w:val="20"/>
                <w:szCs w:val="20"/>
                <w:color w:val="auto"/>
              </w:rPr>
            </w:pPr>
            <w:r>
              <w:rPr>
                <w:rFonts w:ascii="Arial" w:cs="Arial" w:eastAsia="Arial" w:hAnsi="Arial"/>
                <w:sz w:val="20"/>
                <w:szCs w:val="20"/>
                <w:color w:val="231F20"/>
              </w:rPr>
              <w:t>Cybersecurity</w:t>
            </w:r>
          </w:p>
        </w:tc>
        <w:tc>
          <w:tcPr>
            <w:tcW w:w="760" w:type="dxa"/>
            <w:vAlign w:val="bottom"/>
          </w:tcPr>
          <w:p>
            <w:pPr>
              <w:jc w:val="right"/>
              <w:spacing w:after="0"/>
              <w:rPr>
                <w:sz w:val="20"/>
                <w:szCs w:val="20"/>
                <w:color w:val="auto"/>
              </w:rPr>
            </w:pPr>
            <w:r>
              <w:rPr>
                <w:rFonts w:ascii="Arial" w:cs="Arial" w:eastAsia="Arial" w:hAnsi="Arial"/>
                <w:sz w:val="20"/>
                <w:szCs w:val="20"/>
                <w:color w:val="231F20"/>
              </w:rPr>
              <w:t>68</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2.</w:t>
            </w:r>
          </w:p>
        </w:tc>
        <w:tc>
          <w:tcPr>
            <w:tcW w:w="9040" w:type="dxa"/>
            <w:vAlign w:val="bottom"/>
          </w:tcPr>
          <w:p>
            <w:pPr>
              <w:ind w:left="100"/>
              <w:spacing w:after="0"/>
              <w:rPr>
                <w:sz w:val="20"/>
                <w:szCs w:val="20"/>
                <w:color w:val="auto"/>
              </w:rPr>
            </w:pPr>
            <w:r>
              <w:rPr>
                <w:rFonts w:ascii="Arial" w:cs="Arial" w:eastAsia="Arial" w:hAnsi="Arial"/>
                <w:sz w:val="20"/>
                <w:szCs w:val="20"/>
                <w:color w:val="231F20"/>
              </w:rPr>
              <w:t>Properties</w:t>
            </w:r>
          </w:p>
        </w:tc>
        <w:tc>
          <w:tcPr>
            <w:tcW w:w="760" w:type="dxa"/>
            <w:vAlign w:val="bottom"/>
          </w:tcPr>
          <w:p>
            <w:pPr>
              <w:jc w:val="right"/>
              <w:spacing w:after="0"/>
              <w:rPr>
                <w:sz w:val="20"/>
                <w:szCs w:val="20"/>
                <w:color w:val="auto"/>
              </w:rPr>
            </w:pPr>
            <w:r>
              <w:rPr>
                <w:rFonts w:ascii="Arial" w:cs="Arial" w:eastAsia="Arial" w:hAnsi="Arial"/>
                <w:sz w:val="20"/>
                <w:szCs w:val="20"/>
                <w:color w:val="231F20"/>
              </w:rPr>
              <w:t>69</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3.</w:t>
            </w:r>
          </w:p>
        </w:tc>
        <w:tc>
          <w:tcPr>
            <w:tcW w:w="9040" w:type="dxa"/>
            <w:vAlign w:val="bottom"/>
          </w:tcPr>
          <w:p>
            <w:pPr>
              <w:ind w:left="100"/>
              <w:spacing w:after="0"/>
              <w:rPr>
                <w:sz w:val="20"/>
                <w:szCs w:val="20"/>
                <w:color w:val="auto"/>
              </w:rPr>
            </w:pPr>
            <w:r>
              <w:rPr>
                <w:rFonts w:ascii="Arial" w:cs="Arial" w:eastAsia="Arial" w:hAnsi="Arial"/>
                <w:sz w:val="20"/>
                <w:szCs w:val="20"/>
                <w:color w:val="231F20"/>
              </w:rPr>
              <w:t>Legal Proceedings</w:t>
            </w:r>
          </w:p>
        </w:tc>
        <w:tc>
          <w:tcPr>
            <w:tcW w:w="760" w:type="dxa"/>
            <w:vAlign w:val="bottom"/>
          </w:tcPr>
          <w:p>
            <w:pPr>
              <w:jc w:val="right"/>
              <w:spacing w:after="0"/>
              <w:rPr>
                <w:sz w:val="20"/>
                <w:szCs w:val="20"/>
                <w:color w:val="auto"/>
              </w:rPr>
            </w:pPr>
            <w:r>
              <w:rPr>
                <w:rFonts w:ascii="Arial" w:cs="Arial" w:eastAsia="Arial" w:hAnsi="Arial"/>
                <w:sz w:val="20"/>
                <w:szCs w:val="20"/>
                <w:color w:val="231F20"/>
              </w:rPr>
              <w:t>69</w:t>
            </w:r>
          </w:p>
        </w:tc>
        <w:tc>
          <w:tcPr>
            <w:tcW w:w="0" w:type="dxa"/>
            <w:vAlign w:val="bottom"/>
          </w:tcPr>
          <w:p>
            <w:pPr>
              <w:spacing w:after="0"/>
              <w:rPr>
                <w:sz w:val="1"/>
                <w:szCs w:val="1"/>
                <w:color w:val="auto"/>
              </w:rPr>
            </w:pPr>
          </w:p>
        </w:tc>
      </w:tr>
      <w:tr>
        <w:trPr>
          <w:trHeight w:val="271"/>
        </w:trPr>
        <w:tc>
          <w:tcPr>
            <w:tcW w:w="1000" w:type="dxa"/>
            <w:vAlign w:val="bottom"/>
          </w:tcPr>
          <w:p>
            <w:pPr>
              <w:ind w:left="140"/>
              <w:spacing w:after="0"/>
              <w:rPr>
                <w:sz w:val="20"/>
                <w:szCs w:val="20"/>
                <w:color w:val="auto"/>
              </w:rPr>
            </w:pPr>
            <w:r>
              <w:rPr>
                <w:rFonts w:ascii="Arial" w:cs="Arial" w:eastAsia="Arial" w:hAnsi="Arial"/>
                <w:sz w:val="20"/>
                <w:szCs w:val="20"/>
                <w:color w:val="231F20"/>
              </w:rPr>
              <w:t>Item 4.</w:t>
            </w:r>
          </w:p>
        </w:tc>
        <w:tc>
          <w:tcPr>
            <w:tcW w:w="9040" w:type="dxa"/>
            <w:vAlign w:val="bottom"/>
          </w:tcPr>
          <w:p>
            <w:pPr>
              <w:ind w:left="100"/>
              <w:spacing w:after="0"/>
              <w:rPr>
                <w:sz w:val="20"/>
                <w:szCs w:val="20"/>
                <w:color w:val="auto"/>
              </w:rPr>
            </w:pPr>
            <w:r>
              <w:rPr>
                <w:rFonts w:ascii="Arial" w:cs="Arial" w:eastAsia="Arial" w:hAnsi="Arial"/>
                <w:sz w:val="20"/>
                <w:szCs w:val="20"/>
                <w:color w:val="231F20"/>
              </w:rPr>
              <w:t>Mine Safety Disclosures</w:t>
            </w:r>
          </w:p>
        </w:tc>
        <w:tc>
          <w:tcPr>
            <w:tcW w:w="760" w:type="dxa"/>
            <w:vAlign w:val="bottom"/>
          </w:tcPr>
          <w:p>
            <w:pPr>
              <w:jc w:val="right"/>
              <w:spacing w:after="0"/>
              <w:rPr>
                <w:sz w:val="20"/>
                <w:szCs w:val="20"/>
                <w:color w:val="auto"/>
              </w:rPr>
            </w:pPr>
            <w:r>
              <w:rPr>
                <w:rFonts w:ascii="Arial" w:cs="Arial" w:eastAsia="Arial" w:hAnsi="Arial"/>
                <w:sz w:val="20"/>
                <w:szCs w:val="20"/>
                <w:color w:val="231F20"/>
              </w:rPr>
              <w:t>69</w:t>
            </w:r>
          </w:p>
        </w:tc>
        <w:tc>
          <w:tcPr>
            <w:tcW w:w="0" w:type="dxa"/>
            <w:vAlign w:val="bottom"/>
          </w:tcPr>
          <w:p>
            <w:pPr>
              <w:spacing w:after="0"/>
              <w:rPr>
                <w:sz w:val="1"/>
                <w:szCs w:val="1"/>
                <w:color w:val="auto"/>
              </w:rPr>
            </w:pPr>
          </w:p>
        </w:tc>
      </w:tr>
      <w:tr>
        <w:trPr>
          <w:trHeight w:val="464"/>
        </w:trPr>
        <w:tc>
          <w:tcPr>
            <w:tcW w:w="1000" w:type="dxa"/>
            <w:vAlign w:val="bottom"/>
          </w:tcPr>
          <w:p>
            <w:pPr>
              <w:spacing w:after="0"/>
              <w:rPr>
                <w:sz w:val="20"/>
                <w:szCs w:val="20"/>
                <w:color w:val="auto"/>
              </w:rPr>
            </w:pPr>
            <w:r>
              <w:rPr>
                <w:rFonts w:ascii="Arial" w:cs="Arial" w:eastAsia="Arial" w:hAnsi="Arial"/>
                <w:sz w:val="20"/>
                <w:szCs w:val="20"/>
                <w:b w:val="1"/>
                <w:bCs w:val="1"/>
                <w:color w:val="231F20"/>
              </w:rPr>
              <w:t>PART II</w:t>
            </w:r>
          </w:p>
        </w:tc>
        <w:tc>
          <w:tcPr>
            <w:tcW w:w="9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Arial" w:cs="Arial" w:eastAsia="Arial" w:hAnsi="Arial"/>
                <w:sz w:val="20"/>
                <w:szCs w:val="20"/>
                <w:color w:val="231F20"/>
              </w:rPr>
              <w:t>Item 5.</w:t>
            </w:r>
          </w:p>
        </w:tc>
        <w:tc>
          <w:tcPr>
            <w:tcW w:w="9040" w:type="dxa"/>
            <w:vAlign w:val="bottom"/>
          </w:tcPr>
          <w:p>
            <w:pPr>
              <w:ind w:left="100"/>
              <w:spacing w:after="0"/>
              <w:rPr>
                <w:sz w:val="20"/>
                <w:szCs w:val="20"/>
                <w:color w:val="auto"/>
              </w:rPr>
            </w:pPr>
            <w:r>
              <w:rPr>
                <w:rFonts w:ascii="Arial" w:cs="Arial" w:eastAsia="Arial" w:hAnsi="Arial"/>
                <w:sz w:val="20"/>
                <w:szCs w:val="20"/>
                <w:color w:val="231F20"/>
              </w:rPr>
              <w:t>Market for Registrant’s Common Equity, Related Stockholder Matters and Issuer Purchases of</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1"/>
                <w:szCs w:val="21"/>
                <w:color w:val="auto"/>
              </w:rPr>
            </w:pPr>
          </w:p>
        </w:tc>
        <w:tc>
          <w:tcPr>
            <w:tcW w:w="9040" w:type="dxa"/>
            <w:vAlign w:val="bottom"/>
          </w:tcPr>
          <w:p>
            <w:pPr>
              <w:ind w:left="100"/>
              <w:spacing w:after="0"/>
              <w:rPr>
                <w:sz w:val="20"/>
                <w:szCs w:val="20"/>
                <w:color w:val="auto"/>
              </w:rPr>
            </w:pPr>
            <w:r>
              <w:rPr>
                <w:rFonts w:ascii="Arial" w:cs="Arial" w:eastAsia="Arial" w:hAnsi="Arial"/>
                <w:sz w:val="20"/>
                <w:szCs w:val="20"/>
                <w:color w:val="231F20"/>
              </w:rPr>
              <w:t>Equity Securities</w:t>
            </w:r>
          </w:p>
        </w:tc>
        <w:tc>
          <w:tcPr>
            <w:tcW w:w="760" w:type="dxa"/>
            <w:vAlign w:val="bottom"/>
          </w:tcPr>
          <w:p>
            <w:pPr>
              <w:jc w:val="right"/>
              <w:spacing w:after="0"/>
              <w:rPr>
                <w:sz w:val="20"/>
                <w:szCs w:val="20"/>
                <w:color w:val="auto"/>
              </w:rPr>
            </w:pPr>
            <w:r>
              <w:rPr>
                <w:rFonts w:ascii="Arial" w:cs="Arial" w:eastAsia="Arial" w:hAnsi="Arial"/>
                <w:sz w:val="20"/>
                <w:szCs w:val="20"/>
                <w:color w:val="231F20"/>
              </w:rPr>
              <w:t>70</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6.</w:t>
            </w:r>
          </w:p>
        </w:tc>
        <w:tc>
          <w:tcPr>
            <w:tcW w:w="9040" w:type="dxa"/>
            <w:vAlign w:val="bottom"/>
          </w:tcPr>
          <w:p>
            <w:pPr>
              <w:ind w:left="100"/>
              <w:spacing w:after="0"/>
              <w:rPr>
                <w:sz w:val="20"/>
                <w:szCs w:val="20"/>
                <w:color w:val="auto"/>
              </w:rPr>
            </w:pPr>
            <w:r>
              <w:rPr>
                <w:rFonts w:ascii="Arial" w:cs="Arial" w:eastAsia="Arial" w:hAnsi="Arial"/>
                <w:sz w:val="20"/>
                <w:szCs w:val="20"/>
                <w:color w:val="231F20"/>
              </w:rPr>
              <w:t>[Reserved]</w:t>
            </w:r>
          </w:p>
        </w:tc>
        <w:tc>
          <w:tcPr>
            <w:tcW w:w="760" w:type="dxa"/>
            <w:vAlign w:val="bottom"/>
          </w:tcPr>
          <w:p>
            <w:pPr>
              <w:jc w:val="right"/>
              <w:spacing w:after="0"/>
              <w:rPr>
                <w:sz w:val="20"/>
                <w:szCs w:val="20"/>
                <w:color w:val="auto"/>
              </w:rPr>
            </w:pPr>
            <w:r>
              <w:rPr>
                <w:rFonts w:ascii="Arial" w:cs="Arial" w:eastAsia="Arial" w:hAnsi="Arial"/>
                <w:sz w:val="20"/>
                <w:szCs w:val="20"/>
                <w:color w:val="231F20"/>
              </w:rPr>
              <w:t>70</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7.</w:t>
            </w:r>
          </w:p>
        </w:tc>
        <w:tc>
          <w:tcPr>
            <w:tcW w:w="9040" w:type="dxa"/>
            <w:vAlign w:val="bottom"/>
          </w:tcPr>
          <w:p>
            <w:pPr>
              <w:ind w:left="100"/>
              <w:spacing w:after="0"/>
              <w:rPr>
                <w:sz w:val="20"/>
                <w:szCs w:val="20"/>
                <w:color w:val="auto"/>
              </w:rPr>
            </w:pPr>
            <w:r>
              <w:rPr>
                <w:rFonts w:ascii="Arial" w:cs="Arial" w:eastAsia="Arial" w:hAnsi="Arial"/>
                <w:sz w:val="20"/>
                <w:szCs w:val="20"/>
                <w:color w:val="231F20"/>
              </w:rPr>
              <w:t>Management’s Discussion and Analysis of Financial Condition and Results of Operations</w:t>
            </w:r>
          </w:p>
        </w:tc>
        <w:tc>
          <w:tcPr>
            <w:tcW w:w="760" w:type="dxa"/>
            <w:vAlign w:val="bottom"/>
          </w:tcPr>
          <w:p>
            <w:pPr>
              <w:jc w:val="right"/>
              <w:spacing w:after="0"/>
              <w:rPr>
                <w:sz w:val="20"/>
                <w:szCs w:val="20"/>
                <w:color w:val="auto"/>
              </w:rPr>
            </w:pPr>
            <w:r>
              <w:rPr>
                <w:rFonts w:ascii="Arial" w:cs="Arial" w:eastAsia="Arial" w:hAnsi="Arial"/>
                <w:sz w:val="20"/>
                <w:szCs w:val="20"/>
                <w:color w:val="231F20"/>
              </w:rPr>
              <w:t>71</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7A.</w:t>
            </w:r>
          </w:p>
        </w:tc>
        <w:tc>
          <w:tcPr>
            <w:tcW w:w="9040" w:type="dxa"/>
            <w:vAlign w:val="bottom"/>
          </w:tcPr>
          <w:p>
            <w:pPr>
              <w:ind w:left="100"/>
              <w:spacing w:after="0"/>
              <w:rPr>
                <w:sz w:val="20"/>
                <w:szCs w:val="20"/>
                <w:color w:val="auto"/>
              </w:rPr>
            </w:pPr>
            <w:r>
              <w:rPr>
                <w:rFonts w:ascii="Arial" w:cs="Arial" w:eastAsia="Arial" w:hAnsi="Arial"/>
                <w:sz w:val="20"/>
                <w:szCs w:val="20"/>
                <w:color w:val="231F20"/>
              </w:rPr>
              <w:t>Quantitative and Qualitative Disclosures About Market Risk</w:t>
            </w:r>
          </w:p>
        </w:tc>
        <w:tc>
          <w:tcPr>
            <w:tcW w:w="760" w:type="dxa"/>
            <w:vAlign w:val="bottom"/>
          </w:tcPr>
          <w:p>
            <w:pPr>
              <w:jc w:val="right"/>
              <w:spacing w:after="0"/>
              <w:rPr>
                <w:sz w:val="20"/>
                <w:szCs w:val="20"/>
                <w:color w:val="auto"/>
              </w:rPr>
            </w:pPr>
            <w:r>
              <w:rPr>
                <w:rFonts w:ascii="Arial" w:cs="Arial" w:eastAsia="Arial" w:hAnsi="Arial"/>
                <w:sz w:val="20"/>
                <w:szCs w:val="20"/>
                <w:color w:val="231F20"/>
              </w:rPr>
              <w:t>80</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8.</w:t>
            </w:r>
          </w:p>
        </w:tc>
        <w:tc>
          <w:tcPr>
            <w:tcW w:w="9040" w:type="dxa"/>
            <w:vAlign w:val="bottom"/>
          </w:tcPr>
          <w:p>
            <w:pPr>
              <w:ind w:left="100"/>
              <w:spacing w:after="0"/>
              <w:rPr>
                <w:sz w:val="20"/>
                <w:szCs w:val="20"/>
                <w:color w:val="auto"/>
              </w:rPr>
            </w:pPr>
            <w:r>
              <w:rPr>
                <w:rFonts w:ascii="Arial" w:cs="Arial" w:eastAsia="Arial" w:hAnsi="Arial"/>
                <w:sz w:val="20"/>
                <w:szCs w:val="20"/>
                <w:color w:val="231F20"/>
              </w:rPr>
              <w:t>Financial Statements and Supplementary Data</w:t>
            </w:r>
          </w:p>
        </w:tc>
        <w:tc>
          <w:tcPr>
            <w:tcW w:w="760" w:type="dxa"/>
            <w:vAlign w:val="bottom"/>
          </w:tcPr>
          <w:p>
            <w:pPr>
              <w:jc w:val="right"/>
              <w:spacing w:after="0"/>
              <w:rPr>
                <w:sz w:val="20"/>
                <w:szCs w:val="20"/>
                <w:color w:val="auto"/>
              </w:rPr>
            </w:pPr>
            <w:r>
              <w:rPr>
                <w:rFonts w:ascii="Arial" w:cs="Arial" w:eastAsia="Arial" w:hAnsi="Arial"/>
                <w:sz w:val="20"/>
                <w:szCs w:val="20"/>
                <w:color w:val="231F20"/>
              </w:rPr>
              <w:t>81</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9.</w:t>
            </w:r>
          </w:p>
        </w:tc>
        <w:tc>
          <w:tcPr>
            <w:tcW w:w="9040" w:type="dxa"/>
            <w:vAlign w:val="bottom"/>
          </w:tcPr>
          <w:p>
            <w:pPr>
              <w:ind w:left="100"/>
              <w:spacing w:after="0"/>
              <w:rPr>
                <w:sz w:val="20"/>
                <w:szCs w:val="20"/>
                <w:color w:val="auto"/>
              </w:rPr>
            </w:pPr>
            <w:r>
              <w:rPr>
                <w:rFonts w:ascii="Arial" w:cs="Arial" w:eastAsia="Arial" w:hAnsi="Arial"/>
                <w:sz w:val="20"/>
                <w:szCs w:val="20"/>
                <w:color w:val="231F20"/>
              </w:rPr>
              <w:t>Changes in and Disagreements with Accountants on Accounting and Financial Disclosure</w:t>
            </w:r>
          </w:p>
        </w:tc>
        <w:tc>
          <w:tcPr>
            <w:tcW w:w="760" w:type="dxa"/>
            <w:vAlign w:val="bottom"/>
          </w:tcPr>
          <w:p>
            <w:pPr>
              <w:jc w:val="right"/>
              <w:spacing w:after="0"/>
              <w:rPr>
                <w:sz w:val="20"/>
                <w:szCs w:val="20"/>
                <w:color w:val="auto"/>
              </w:rPr>
            </w:pPr>
            <w:r>
              <w:rPr>
                <w:rFonts w:ascii="Arial" w:cs="Arial" w:eastAsia="Arial" w:hAnsi="Arial"/>
                <w:sz w:val="20"/>
                <w:szCs w:val="20"/>
                <w:color w:val="231F20"/>
              </w:rPr>
              <w:t>81</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9A.</w:t>
            </w:r>
          </w:p>
        </w:tc>
        <w:tc>
          <w:tcPr>
            <w:tcW w:w="9040" w:type="dxa"/>
            <w:vAlign w:val="bottom"/>
          </w:tcPr>
          <w:p>
            <w:pPr>
              <w:ind w:left="100"/>
              <w:spacing w:after="0"/>
              <w:rPr>
                <w:sz w:val="20"/>
                <w:szCs w:val="20"/>
                <w:color w:val="auto"/>
              </w:rPr>
            </w:pPr>
            <w:r>
              <w:rPr>
                <w:rFonts w:ascii="Arial" w:cs="Arial" w:eastAsia="Arial" w:hAnsi="Arial"/>
                <w:sz w:val="20"/>
                <w:szCs w:val="20"/>
                <w:color w:val="231F20"/>
              </w:rPr>
              <w:t>Controls and Procedures</w:t>
            </w:r>
          </w:p>
        </w:tc>
        <w:tc>
          <w:tcPr>
            <w:tcW w:w="760" w:type="dxa"/>
            <w:vAlign w:val="bottom"/>
          </w:tcPr>
          <w:p>
            <w:pPr>
              <w:jc w:val="right"/>
              <w:spacing w:after="0"/>
              <w:rPr>
                <w:sz w:val="20"/>
                <w:szCs w:val="20"/>
                <w:color w:val="auto"/>
              </w:rPr>
            </w:pPr>
            <w:r>
              <w:rPr>
                <w:rFonts w:ascii="Arial" w:cs="Arial" w:eastAsia="Arial" w:hAnsi="Arial"/>
                <w:sz w:val="20"/>
                <w:szCs w:val="20"/>
                <w:color w:val="231F20"/>
              </w:rPr>
              <w:t>81</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9B.</w:t>
            </w:r>
          </w:p>
        </w:tc>
        <w:tc>
          <w:tcPr>
            <w:tcW w:w="9040" w:type="dxa"/>
            <w:vAlign w:val="bottom"/>
          </w:tcPr>
          <w:p>
            <w:pPr>
              <w:ind w:left="100"/>
              <w:spacing w:after="0"/>
              <w:rPr>
                <w:sz w:val="20"/>
                <w:szCs w:val="20"/>
                <w:color w:val="auto"/>
              </w:rPr>
            </w:pPr>
            <w:r>
              <w:rPr>
                <w:rFonts w:ascii="Arial" w:cs="Arial" w:eastAsia="Arial" w:hAnsi="Arial"/>
                <w:sz w:val="20"/>
                <w:szCs w:val="20"/>
                <w:color w:val="231F20"/>
              </w:rPr>
              <w:t>Other Information</w:t>
            </w:r>
          </w:p>
        </w:tc>
        <w:tc>
          <w:tcPr>
            <w:tcW w:w="760" w:type="dxa"/>
            <w:vAlign w:val="bottom"/>
          </w:tcPr>
          <w:p>
            <w:pPr>
              <w:jc w:val="right"/>
              <w:spacing w:after="0"/>
              <w:rPr>
                <w:sz w:val="20"/>
                <w:szCs w:val="20"/>
                <w:color w:val="auto"/>
              </w:rPr>
            </w:pPr>
            <w:r>
              <w:rPr>
                <w:rFonts w:ascii="Arial" w:cs="Arial" w:eastAsia="Arial" w:hAnsi="Arial"/>
                <w:sz w:val="20"/>
                <w:szCs w:val="20"/>
                <w:color w:val="231F20"/>
              </w:rPr>
              <w:t>83</w:t>
            </w:r>
          </w:p>
        </w:tc>
        <w:tc>
          <w:tcPr>
            <w:tcW w:w="0" w:type="dxa"/>
            <w:vAlign w:val="bottom"/>
          </w:tcPr>
          <w:p>
            <w:pPr>
              <w:spacing w:after="0"/>
              <w:rPr>
                <w:sz w:val="1"/>
                <w:szCs w:val="1"/>
                <w:color w:val="auto"/>
              </w:rPr>
            </w:pPr>
          </w:p>
        </w:tc>
      </w:tr>
      <w:tr>
        <w:trPr>
          <w:trHeight w:val="271"/>
        </w:trPr>
        <w:tc>
          <w:tcPr>
            <w:tcW w:w="1000" w:type="dxa"/>
            <w:vAlign w:val="bottom"/>
          </w:tcPr>
          <w:p>
            <w:pPr>
              <w:ind w:left="140"/>
              <w:spacing w:after="0"/>
              <w:rPr>
                <w:sz w:val="20"/>
                <w:szCs w:val="20"/>
                <w:color w:val="auto"/>
              </w:rPr>
            </w:pPr>
            <w:r>
              <w:rPr>
                <w:rFonts w:ascii="Arial" w:cs="Arial" w:eastAsia="Arial" w:hAnsi="Arial"/>
                <w:sz w:val="20"/>
                <w:szCs w:val="20"/>
                <w:color w:val="231F20"/>
              </w:rPr>
              <w:t>Item 9C.</w:t>
            </w:r>
          </w:p>
        </w:tc>
        <w:tc>
          <w:tcPr>
            <w:tcW w:w="9040" w:type="dxa"/>
            <w:vAlign w:val="bottom"/>
          </w:tcPr>
          <w:p>
            <w:pPr>
              <w:ind w:left="100"/>
              <w:spacing w:after="0"/>
              <w:rPr>
                <w:sz w:val="20"/>
                <w:szCs w:val="20"/>
                <w:color w:val="auto"/>
              </w:rPr>
            </w:pPr>
            <w:r>
              <w:rPr>
                <w:rFonts w:ascii="Arial" w:cs="Arial" w:eastAsia="Arial" w:hAnsi="Arial"/>
                <w:sz w:val="20"/>
                <w:szCs w:val="20"/>
                <w:color w:val="231F20"/>
              </w:rPr>
              <w:t>Disclosure Regarding Foreign Jurisdictions that Prevent Inspections</w:t>
            </w:r>
          </w:p>
        </w:tc>
        <w:tc>
          <w:tcPr>
            <w:tcW w:w="760" w:type="dxa"/>
            <w:vAlign w:val="bottom"/>
          </w:tcPr>
          <w:p>
            <w:pPr>
              <w:jc w:val="right"/>
              <w:spacing w:after="0"/>
              <w:rPr>
                <w:sz w:val="20"/>
                <w:szCs w:val="20"/>
                <w:color w:val="auto"/>
              </w:rPr>
            </w:pPr>
            <w:r>
              <w:rPr>
                <w:rFonts w:ascii="Arial" w:cs="Arial" w:eastAsia="Arial" w:hAnsi="Arial"/>
                <w:sz w:val="20"/>
                <w:szCs w:val="20"/>
                <w:color w:val="231F20"/>
              </w:rPr>
              <w:t>83</w:t>
            </w:r>
          </w:p>
        </w:tc>
        <w:tc>
          <w:tcPr>
            <w:tcW w:w="0" w:type="dxa"/>
            <w:vAlign w:val="bottom"/>
          </w:tcPr>
          <w:p>
            <w:pPr>
              <w:spacing w:after="0"/>
              <w:rPr>
                <w:sz w:val="1"/>
                <w:szCs w:val="1"/>
                <w:color w:val="auto"/>
              </w:rPr>
            </w:pPr>
          </w:p>
        </w:tc>
      </w:tr>
      <w:tr>
        <w:trPr>
          <w:trHeight w:val="464"/>
        </w:trPr>
        <w:tc>
          <w:tcPr>
            <w:tcW w:w="1000" w:type="dxa"/>
            <w:vAlign w:val="bottom"/>
          </w:tcPr>
          <w:p>
            <w:pPr>
              <w:spacing w:after="0"/>
              <w:rPr>
                <w:sz w:val="20"/>
                <w:szCs w:val="20"/>
                <w:color w:val="auto"/>
              </w:rPr>
            </w:pPr>
            <w:r>
              <w:rPr>
                <w:rFonts w:ascii="Arial" w:cs="Arial" w:eastAsia="Arial" w:hAnsi="Arial"/>
                <w:sz w:val="20"/>
                <w:szCs w:val="20"/>
                <w:b w:val="1"/>
                <w:bCs w:val="1"/>
                <w:color w:val="231F20"/>
              </w:rPr>
              <w:t>PART III</w:t>
            </w:r>
          </w:p>
        </w:tc>
        <w:tc>
          <w:tcPr>
            <w:tcW w:w="9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10.</w:t>
            </w:r>
          </w:p>
        </w:tc>
        <w:tc>
          <w:tcPr>
            <w:tcW w:w="9040" w:type="dxa"/>
            <w:vAlign w:val="bottom"/>
          </w:tcPr>
          <w:p>
            <w:pPr>
              <w:ind w:left="100"/>
              <w:spacing w:after="0"/>
              <w:rPr>
                <w:sz w:val="20"/>
                <w:szCs w:val="20"/>
                <w:color w:val="auto"/>
              </w:rPr>
            </w:pPr>
            <w:r>
              <w:rPr>
                <w:rFonts w:ascii="Arial" w:cs="Arial" w:eastAsia="Arial" w:hAnsi="Arial"/>
                <w:sz w:val="20"/>
                <w:szCs w:val="20"/>
                <w:color w:val="231F20"/>
              </w:rPr>
              <w:t>Directors, Executive Officers and Corporate Governance</w:t>
            </w:r>
          </w:p>
        </w:tc>
        <w:tc>
          <w:tcPr>
            <w:tcW w:w="760" w:type="dxa"/>
            <w:vAlign w:val="bottom"/>
          </w:tcPr>
          <w:p>
            <w:pPr>
              <w:jc w:val="right"/>
              <w:spacing w:after="0"/>
              <w:rPr>
                <w:sz w:val="20"/>
                <w:szCs w:val="20"/>
                <w:color w:val="auto"/>
              </w:rPr>
            </w:pPr>
            <w:r>
              <w:rPr>
                <w:rFonts w:ascii="Arial" w:cs="Arial" w:eastAsia="Arial" w:hAnsi="Arial"/>
                <w:sz w:val="20"/>
                <w:szCs w:val="20"/>
                <w:color w:val="231F20"/>
              </w:rPr>
              <w:t>84</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11.</w:t>
            </w:r>
          </w:p>
        </w:tc>
        <w:tc>
          <w:tcPr>
            <w:tcW w:w="9040" w:type="dxa"/>
            <w:vAlign w:val="bottom"/>
          </w:tcPr>
          <w:p>
            <w:pPr>
              <w:ind w:left="100"/>
              <w:spacing w:after="0"/>
              <w:rPr>
                <w:sz w:val="20"/>
                <w:szCs w:val="20"/>
                <w:color w:val="auto"/>
              </w:rPr>
            </w:pPr>
            <w:r>
              <w:rPr>
                <w:rFonts w:ascii="Arial" w:cs="Arial" w:eastAsia="Arial" w:hAnsi="Arial"/>
                <w:sz w:val="20"/>
                <w:szCs w:val="20"/>
                <w:color w:val="231F20"/>
              </w:rPr>
              <w:t>Executive Compensation</w:t>
            </w:r>
          </w:p>
        </w:tc>
        <w:tc>
          <w:tcPr>
            <w:tcW w:w="760" w:type="dxa"/>
            <w:vAlign w:val="bottom"/>
          </w:tcPr>
          <w:p>
            <w:pPr>
              <w:jc w:val="right"/>
              <w:spacing w:after="0"/>
              <w:rPr>
                <w:sz w:val="20"/>
                <w:szCs w:val="20"/>
                <w:color w:val="auto"/>
              </w:rPr>
            </w:pPr>
            <w:r>
              <w:rPr>
                <w:rFonts w:ascii="Arial" w:cs="Arial" w:eastAsia="Arial" w:hAnsi="Arial"/>
                <w:sz w:val="20"/>
                <w:szCs w:val="20"/>
                <w:color w:val="231F20"/>
              </w:rPr>
              <w:t>84</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12.</w:t>
            </w:r>
          </w:p>
        </w:tc>
        <w:tc>
          <w:tcPr>
            <w:tcW w:w="9040" w:type="dxa"/>
            <w:vAlign w:val="bottom"/>
          </w:tcPr>
          <w:p>
            <w:pPr>
              <w:ind w:left="100"/>
              <w:spacing w:after="0"/>
              <w:rPr>
                <w:sz w:val="20"/>
                <w:szCs w:val="20"/>
                <w:color w:val="auto"/>
              </w:rPr>
            </w:pPr>
            <w:r>
              <w:rPr>
                <w:rFonts w:ascii="Arial" w:cs="Arial" w:eastAsia="Arial" w:hAnsi="Arial"/>
                <w:sz w:val="20"/>
                <w:szCs w:val="20"/>
                <w:color w:val="231F20"/>
              </w:rPr>
              <w:t>Security Ownership of Certain Beneficial Owners and Management and Related Stockholder Matters</w:t>
            </w:r>
          </w:p>
        </w:tc>
        <w:tc>
          <w:tcPr>
            <w:tcW w:w="760" w:type="dxa"/>
            <w:vAlign w:val="bottom"/>
          </w:tcPr>
          <w:p>
            <w:pPr>
              <w:jc w:val="right"/>
              <w:spacing w:after="0"/>
              <w:rPr>
                <w:sz w:val="20"/>
                <w:szCs w:val="20"/>
                <w:color w:val="auto"/>
              </w:rPr>
            </w:pPr>
            <w:r>
              <w:rPr>
                <w:rFonts w:ascii="Arial" w:cs="Arial" w:eastAsia="Arial" w:hAnsi="Arial"/>
                <w:sz w:val="20"/>
                <w:szCs w:val="20"/>
                <w:color w:val="231F20"/>
              </w:rPr>
              <w:t>84</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13.</w:t>
            </w:r>
          </w:p>
        </w:tc>
        <w:tc>
          <w:tcPr>
            <w:tcW w:w="9040" w:type="dxa"/>
            <w:vAlign w:val="bottom"/>
          </w:tcPr>
          <w:p>
            <w:pPr>
              <w:ind w:left="100"/>
              <w:spacing w:after="0"/>
              <w:rPr>
                <w:sz w:val="20"/>
                <w:szCs w:val="20"/>
                <w:color w:val="auto"/>
              </w:rPr>
            </w:pPr>
            <w:r>
              <w:rPr>
                <w:rFonts w:ascii="Arial" w:cs="Arial" w:eastAsia="Arial" w:hAnsi="Arial"/>
                <w:sz w:val="20"/>
                <w:szCs w:val="20"/>
                <w:color w:val="231F20"/>
              </w:rPr>
              <w:t>Certain Relationships and Related Transactions, and Director Independence</w:t>
            </w:r>
          </w:p>
        </w:tc>
        <w:tc>
          <w:tcPr>
            <w:tcW w:w="760" w:type="dxa"/>
            <w:vAlign w:val="bottom"/>
          </w:tcPr>
          <w:p>
            <w:pPr>
              <w:jc w:val="right"/>
              <w:spacing w:after="0"/>
              <w:rPr>
                <w:sz w:val="20"/>
                <w:szCs w:val="20"/>
                <w:color w:val="auto"/>
              </w:rPr>
            </w:pPr>
            <w:r>
              <w:rPr>
                <w:rFonts w:ascii="Arial" w:cs="Arial" w:eastAsia="Arial" w:hAnsi="Arial"/>
                <w:sz w:val="20"/>
                <w:szCs w:val="20"/>
                <w:color w:val="231F20"/>
              </w:rPr>
              <w:t>84</w:t>
            </w:r>
          </w:p>
        </w:tc>
        <w:tc>
          <w:tcPr>
            <w:tcW w:w="0" w:type="dxa"/>
            <w:vAlign w:val="bottom"/>
          </w:tcPr>
          <w:p>
            <w:pPr>
              <w:spacing w:after="0"/>
              <w:rPr>
                <w:sz w:val="1"/>
                <w:szCs w:val="1"/>
                <w:color w:val="auto"/>
              </w:rPr>
            </w:pPr>
          </w:p>
        </w:tc>
      </w:tr>
      <w:tr>
        <w:trPr>
          <w:trHeight w:val="271"/>
        </w:trPr>
        <w:tc>
          <w:tcPr>
            <w:tcW w:w="1000" w:type="dxa"/>
            <w:vAlign w:val="bottom"/>
          </w:tcPr>
          <w:p>
            <w:pPr>
              <w:ind w:left="140"/>
              <w:spacing w:after="0"/>
              <w:rPr>
                <w:sz w:val="20"/>
                <w:szCs w:val="20"/>
                <w:color w:val="auto"/>
              </w:rPr>
            </w:pPr>
            <w:r>
              <w:rPr>
                <w:rFonts w:ascii="Arial" w:cs="Arial" w:eastAsia="Arial" w:hAnsi="Arial"/>
                <w:sz w:val="20"/>
                <w:szCs w:val="20"/>
                <w:color w:val="231F20"/>
              </w:rPr>
              <w:t>Item 14.</w:t>
            </w:r>
          </w:p>
        </w:tc>
        <w:tc>
          <w:tcPr>
            <w:tcW w:w="9040" w:type="dxa"/>
            <w:vAlign w:val="bottom"/>
          </w:tcPr>
          <w:p>
            <w:pPr>
              <w:ind w:left="100"/>
              <w:spacing w:after="0"/>
              <w:rPr>
                <w:sz w:val="20"/>
                <w:szCs w:val="20"/>
                <w:color w:val="auto"/>
              </w:rPr>
            </w:pPr>
            <w:r>
              <w:rPr>
                <w:rFonts w:ascii="Arial" w:cs="Arial" w:eastAsia="Arial" w:hAnsi="Arial"/>
                <w:sz w:val="20"/>
                <w:szCs w:val="20"/>
                <w:color w:val="231F20"/>
              </w:rPr>
              <w:t>Principal Accounting Fees and Services</w:t>
            </w:r>
          </w:p>
        </w:tc>
        <w:tc>
          <w:tcPr>
            <w:tcW w:w="760" w:type="dxa"/>
            <w:vAlign w:val="bottom"/>
          </w:tcPr>
          <w:p>
            <w:pPr>
              <w:jc w:val="right"/>
              <w:spacing w:after="0"/>
              <w:rPr>
                <w:sz w:val="20"/>
                <w:szCs w:val="20"/>
                <w:color w:val="auto"/>
              </w:rPr>
            </w:pPr>
            <w:r>
              <w:rPr>
                <w:rFonts w:ascii="Arial" w:cs="Arial" w:eastAsia="Arial" w:hAnsi="Arial"/>
                <w:sz w:val="20"/>
                <w:szCs w:val="20"/>
                <w:color w:val="231F20"/>
              </w:rPr>
              <w:t>84</w:t>
            </w:r>
          </w:p>
        </w:tc>
        <w:tc>
          <w:tcPr>
            <w:tcW w:w="0" w:type="dxa"/>
            <w:vAlign w:val="bottom"/>
          </w:tcPr>
          <w:p>
            <w:pPr>
              <w:spacing w:after="0"/>
              <w:rPr>
                <w:sz w:val="1"/>
                <w:szCs w:val="1"/>
                <w:color w:val="auto"/>
              </w:rPr>
            </w:pPr>
          </w:p>
        </w:tc>
      </w:tr>
      <w:tr>
        <w:trPr>
          <w:trHeight w:val="464"/>
        </w:trPr>
        <w:tc>
          <w:tcPr>
            <w:tcW w:w="1000" w:type="dxa"/>
            <w:vAlign w:val="bottom"/>
          </w:tcPr>
          <w:p>
            <w:pPr>
              <w:spacing w:after="0"/>
              <w:rPr>
                <w:sz w:val="20"/>
                <w:szCs w:val="20"/>
                <w:color w:val="auto"/>
              </w:rPr>
            </w:pPr>
            <w:r>
              <w:rPr>
                <w:rFonts w:ascii="Arial" w:cs="Arial" w:eastAsia="Arial" w:hAnsi="Arial"/>
                <w:sz w:val="20"/>
                <w:szCs w:val="20"/>
                <w:b w:val="1"/>
                <w:bCs w:val="1"/>
                <w:color w:val="231F20"/>
              </w:rPr>
              <w:t>PART IV</w:t>
            </w:r>
          </w:p>
        </w:tc>
        <w:tc>
          <w:tcPr>
            <w:tcW w:w="9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15.</w:t>
            </w:r>
          </w:p>
        </w:tc>
        <w:tc>
          <w:tcPr>
            <w:tcW w:w="9040" w:type="dxa"/>
            <w:vAlign w:val="bottom"/>
          </w:tcPr>
          <w:p>
            <w:pPr>
              <w:ind w:left="100"/>
              <w:spacing w:after="0"/>
              <w:rPr>
                <w:sz w:val="20"/>
                <w:szCs w:val="20"/>
                <w:color w:val="auto"/>
              </w:rPr>
            </w:pPr>
            <w:r>
              <w:rPr>
                <w:rFonts w:ascii="Arial" w:cs="Arial" w:eastAsia="Arial" w:hAnsi="Arial"/>
                <w:sz w:val="20"/>
                <w:szCs w:val="20"/>
                <w:color w:val="231F20"/>
              </w:rPr>
              <w:t>Exhibits, Financial Statement Schedules</w:t>
            </w:r>
          </w:p>
        </w:tc>
        <w:tc>
          <w:tcPr>
            <w:tcW w:w="760" w:type="dxa"/>
            <w:vAlign w:val="bottom"/>
          </w:tcPr>
          <w:p>
            <w:pPr>
              <w:jc w:val="right"/>
              <w:spacing w:after="0"/>
              <w:rPr>
                <w:sz w:val="20"/>
                <w:szCs w:val="20"/>
                <w:color w:val="auto"/>
              </w:rPr>
            </w:pPr>
            <w:r>
              <w:rPr>
                <w:rFonts w:ascii="Arial" w:cs="Arial" w:eastAsia="Arial" w:hAnsi="Arial"/>
                <w:sz w:val="20"/>
                <w:szCs w:val="20"/>
                <w:color w:val="231F20"/>
              </w:rPr>
              <w:t>85</w:t>
            </w: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Arial" w:cs="Arial" w:eastAsia="Arial" w:hAnsi="Arial"/>
                <w:sz w:val="20"/>
                <w:szCs w:val="20"/>
                <w:color w:val="231F20"/>
              </w:rPr>
              <w:t>Item 16</w:t>
            </w:r>
          </w:p>
        </w:tc>
        <w:tc>
          <w:tcPr>
            <w:tcW w:w="9040" w:type="dxa"/>
            <w:vAlign w:val="bottom"/>
          </w:tcPr>
          <w:p>
            <w:pPr>
              <w:ind w:left="100"/>
              <w:spacing w:after="0"/>
              <w:rPr>
                <w:sz w:val="20"/>
                <w:szCs w:val="20"/>
                <w:color w:val="auto"/>
              </w:rPr>
            </w:pPr>
            <w:r>
              <w:rPr>
                <w:rFonts w:ascii="Arial" w:cs="Arial" w:eastAsia="Arial" w:hAnsi="Arial"/>
                <w:sz w:val="20"/>
                <w:szCs w:val="20"/>
                <w:color w:val="231F20"/>
              </w:rPr>
              <w:t>Form 10-K Summary</w:t>
            </w:r>
          </w:p>
        </w:tc>
        <w:tc>
          <w:tcPr>
            <w:tcW w:w="760" w:type="dxa"/>
            <w:vAlign w:val="bottom"/>
          </w:tcPr>
          <w:p>
            <w:pPr>
              <w:jc w:val="right"/>
              <w:spacing w:after="0"/>
              <w:rPr>
                <w:sz w:val="20"/>
                <w:szCs w:val="20"/>
                <w:color w:val="auto"/>
              </w:rPr>
            </w:pPr>
            <w:r>
              <w:rPr>
                <w:rFonts w:ascii="Arial" w:cs="Arial" w:eastAsia="Arial" w:hAnsi="Arial"/>
                <w:sz w:val="20"/>
                <w:szCs w:val="20"/>
                <w:color w:val="231F20"/>
              </w:rPr>
              <w:t>85</w:t>
            </w:r>
          </w:p>
        </w:tc>
        <w:tc>
          <w:tcPr>
            <w:tcW w:w="0" w:type="dxa"/>
            <w:vAlign w:val="bottom"/>
          </w:tcPr>
          <w:p>
            <w:pPr>
              <w:spacing w:after="0"/>
              <w:rPr>
                <w:sz w:val="1"/>
                <w:szCs w:val="1"/>
                <w:color w:val="auto"/>
              </w:rPr>
            </w:pPr>
          </w:p>
        </w:tc>
      </w:tr>
      <w:tr>
        <w:trPr>
          <w:trHeight w:val="271"/>
        </w:trPr>
        <w:tc>
          <w:tcPr>
            <w:tcW w:w="1000" w:type="dxa"/>
            <w:vAlign w:val="bottom"/>
          </w:tcPr>
          <w:p>
            <w:pPr>
              <w:spacing w:after="0"/>
              <w:rPr>
                <w:sz w:val="23"/>
                <w:szCs w:val="23"/>
                <w:color w:val="auto"/>
              </w:rPr>
            </w:pPr>
          </w:p>
        </w:tc>
        <w:tc>
          <w:tcPr>
            <w:tcW w:w="9040" w:type="dxa"/>
            <w:vAlign w:val="bottom"/>
          </w:tcPr>
          <w:p>
            <w:pPr>
              <w:ind w:left="100"/>
              <w:spacing w:after="0"/>
              <w:rPr>
                <w:sz w:val="20"/>
                <w:szCs w:val="20"/>
                <w:color w:val="auto"/>
              </w:rPr>
            </w:pPr>
            <w:r>
              <w:rPr>
                <w:rFonts w:ascii="Arial" w:cs="Arial" w:eastAsia="Arial" w:hAnsi="Arial"/>
                <w:sz w:val="20"/>
                <w:szCs w:val="20"/>
                <w:color w:val="231F20"/>
              </w:rPr>
              <w:t>Signatures</w:t>
            </w:r>
          </w:p>
        </w:tc>
        <w:tc>
          <w:tcPr>
            <w:tcW w:w="760" w:type="dxa"/>
            <w:vAlign w:val="bottom"/>
          </w:tcPr>
          <w:p>
            <w:pPr>
              <w:jc w:val="right"/>
              <w:spacing w:after="0"/>
              <w:rPr>
                <w:sz w:val="20"/>
                <w:szCs w:val="20"/>
                <w:color w:val="auto"/>
              </w:rPr>
            </w:pPr>
            <w:r>
              <w:rPr>
                <w:rFonts w:ascii="Arial" w:cs="Arial" w:eastAsia="Arial" w:hAnsi="Arial"/>
                <w:sz w:val="20"/>
                <w:szCs w:val="20"/>
                <w:color w:val="231F20"/>
              </w:rPr>
              <w:t>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-4826635</wp:posOffset>
            </wp:positionV>
            <wp:extent cx="6858000" cy="4813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6858000" cy="4813300"/>
                    </a:xfrm>
                    <a:prstGeom prst="rect">
                      <a:avLst/>
                    </a:prstGeom>
                    <a:noFill/>
                  </pic:spPr>
                </pic:pic>
              </a:graphicData>
            </a:graphic>
          </wp:anchor>
        </w:drawing>
      </w:r>
    </w:p>
    <w:p>
      <w:pPr>
        <w:sectPr>
          <w:pgSz w:w="11880" w:h="15480" w:orient="portrait"/>
          <w:cols w:equalWidth="0" w:num="1">
            <w:col w:w="10800"/>
          </w:cols>
          <w:pgMar w:left="540" w:top="976" w:right="540" w:bottom="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i</w:t>
      </w:r>
    </w:p>
    <w:p>
      <w:pPr>
        <w:sectPr>
          <w:pgSz w:w="11880" w:h="15480" w:orient="portrait"/>
          <w:cols w:equalWidth="0" w:num="1">
            <w:col w:w="10800"/>
          </w:cols>
          <w:pgMar w:left="540" w:top="976" w:right="540" w:bottom="64"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20"/>
          <w:szCs w:val="20"/>
          <w:b w:val="1"/>
          <w:bCs w:val="1"/>
          <w:color w:val="231F20"/>
        </w:rPr>
        <w:t>SPECIAL NOTE REGARDING FORWARD-LOOKING STATEMENTS</w:t>
      </w:r>
    </w:p>
    <w:p>
      <w:pPr>
        <w:spacing w:after="0" w:line="244"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231F20"/>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product candidates, planned preclinical and nonclinical studies and clinical trials, results of preclinical and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231F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Form 10-K include, but are not limited to, statements about:</w:t>
      </w:r>
    </w:p>
    <w:p>
      <w:pPr>
        <w:spacing w:after="0" w:line="80" w:lineRule="exact"/>
        <w:rPr>
          <w:sz w:val="20"/>
          <w:szCs w:val="20"/>
          <w:color w:val="auto"/>
        </w:rPr>
      </w:pPr>
    </w:p>
    <w:p>
      <w:pPr>
        <w:jc w:val="both"/>
        <w:ind w:left="980" w:right="160" w:hanging="490"/>
        <w:spacing w:after="0" w:line="261"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initiation, timing, progress, and results of our preclinical and nonclinical studies and clinical trials, and our research and development programs, including the manufacture of clinical trial material and drug product for launch;</w:t>
      </w:r>
    </w:p>
    <w:p>
      <w:pPr>
        <w:spacing w:after="0" w:line="73" w:lineRule="exact"/>
        <w:rPr>
          <w:rFonts w:ascii="Arial" w:cs="Arial" w:eastAsia="Arial" w:hAnsi="Arial"/>
          <w:sz w:val="20"/>
          <w:szCs w:val="20"/>
          <w:color w:val="231F20"/>
        </w:rPr>
      </w:pPr>
    </w:p>
    <w:p>
      <w:pPr>
        <w:ind w:left="980" w:right="120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sufficiency of our existing cash to fund our future operating expenses and capital expenditure requirements;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accuracy of our estimates regarding expenses, capital requirements and needs for additional financing;</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our use of the net proceeds from financing activities;</w:t>
      </w:r>
    </w:p>
    <w:p>
      <w:pPr>
        <w:spacing w:after="0" w:line="133" w:lineRule="exact"/>
        <w:rPr>
          <w:rFonts w:ascii="Arial" w:cs="Arial" w:eastAsia="Arial" w:hAnsi="Arial"/>
          <w:sz w:val="20"/>
          <w:szCs w:val="20"/>
          <w:color w:val="231F20"/>
        </w:rPr>
      </w:pPr>
    </w:p>
    <w:p>
      <w:pPr>
        <w:ind w:left="980" w:right="8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ability of our ongoing and planned clinical trials to be sufficient for regulatory approval in the United States and other territories;</w:t>
      </w:r>
    </w:p>
    <w:p>
      <w:pPr>
        <w:spacing w:after="0" w:line="53" w:lineRule="exact"/>
        <w:rPr>
          <w:rFonts w:ascii="Arial" w:cs="Arial" w:eastAsia="Arial" w:hAnsi="Arial"/>
          <w:sz w:val="20"/>
          <w:szCs w:val="20"/>
          <w:color w:val="231F20"/>
        </w:rPr>
      </w:pPr>
    </w:p>
    <w:p>
      <w:pPr>
        <w:ind w:left="980" w:right="14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our ability to commence studies of epetraborole in additional patient populations, which regulatory authorities may not allow or authorize or may delay allowing or authorizing;</w:t>
      </w:r>
    </w:p>
    <w:p>
      <w:pPr>
        <w:spacing w:after="0" w:line="53" w:lineRule="exact"/>
        <w:rPr>
          <w:rFonts w:ascii="Arial" w:cs="Arial" w:eastAsia="Arial" w:hAnsi="Arial"/>
          <w:sz w:val="20"/>
          <w:szCs w:val="20"/>
          <w:color w:val="231F20"/>
        </w:rPr>
      </w:pPr>
    </w:p>
    <w:p>
      <w:pPr>
        <w:ind w:left="980" w:right="22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translation of our preclinical results and data and early clinical trial results, in particular relating to safety, efficacy and durability, into future clinical trial results;</w:t>
      </w:r>
    </w:p>
    <w:p>
      <w:pPr>
        <w:spacing w:after="0" w:line="53" w:lineRule="exact"/>
        <w:rPr>
          <w:rFonts w:ascii="Arial" w:cs="Arial" w:eastAsia="Arial" w:hAnsi="Arial"/>
          <w:sz w:val="20"/>
          <w:szCs w:val="20"/>
          <w:color w:val="231F20"/>
        </w:rPr>
      </w:pPr>
    </w:p>
    <w:p>
      <w:pPr>
        <w:ind w:left="980" w:right="34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our ability to retain the continued service of our key professionals and to identify, hire, and retain additional qualified professionals;</w:t>
      </w:r>
    </w:p>
    <w:p>
      <w:pPr>
        <w:spacing w:after="0" w:line="53" w:lineRule="exact"/>
        <w:rPr>
          <w:rFonts w:ascii="Arial" w:cs="Arial" w:eastAsia="Arial" w:hAnsi="Arial"/>
          <w:sz w:val="20"/>
          <w:szCs w:val="20"/>
          <w:color w:val="231F20"/>
        </w:rPr>
      </w:pPr>
    </w:p>
    <w:p>
      <w:pPr>
        <w:ind w:left="98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our ability to advance our initial product candidate and any other product candidates we may develop into, and successfully complete, clinical trials;</w:t>
      </w:r>
    </w:p>
    <w:p>
      <w:pPr>
        <w:spacing w:after="0" w:line="53" w:lineRule="exact"/>
        <w:rPr>
          <w:rFonts w:ascii="Arial" w:cs="Arial" w:eastAsia="Arial" w:hAnsi="Arial"/>
          <w:sz w:val="20"/>
          <w:szCs w:val="20"/>
          <w:color w:val="231F20"/>
        </w:rPr>
      </w:pPr>
    </w:p>
    <w:p>
      <w:pPr>
        <w:ind w:left="980" w:right="28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timing of and our ability to obtain and maintain regulatory approvals for our initial product candidate and any other product candidates we may develop;</w:t>
      </w:r>
    </w:p>
    <w:p>
      <w:pPr>
        <w:spacing w:after="0" w:line="53" w:lineRule="exact"/>
        <w:rPr>
          <w:rFonts w:ascii="Arial" w:cs="Arial" w:eastAsia="Arial" w:hAnsi="Arial"/>
          <w:sz w:val="20"/>
          <w:szCs w:val="20"/>
          <w:color w:val="231F20"/>
        </w:rPr>
      </w:pPr>
    </w:p>
    <w:p>
      <w:pPr>
        <w:ind w:left="980" w:right="34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commercialization of our initial product candidate and any other product candidates we may develop, if approved;</w:t>
      </w:r>
    </w:p>
    <w:p>
      <w:pPr>
        <w:spacing w:after="0" w:line="53" w:lineRule="exact"/>
        <w:rPr>
          <w:rFonts w:ascii="Arial" w:cs="Arial" w:eastAsia="Arial" w:hAnsi="Arial"/>
          <w:sz w:val="20"/>
          <w:szCs w:val="20"/>
          <w:color w:val="231F20"/>
        </w:rPr>
      </w:pPr>
    </w:p>
    <w:p>
      <w:pPr>
        <w:ind w:left="980" w:right="58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ability of epetraborole, if approved, to successfully compete with other therapies, including therapies currently in development;</w:t>
      </w:r>
    </w:p>
    <w:p>
      <w:pPr>
        <w:spacing w:after="0" w:line="53" w:lineRule="exact"/>
        <w:rPr>
          <w:rFonts w:ascii="Arial" w:cs="Arial" w:eastAsia="Arial" w:hAnsi="Arial"/>
          <w:sz w:val="20"/>
          <w:szCs w:val="20"/>
          <w:color w:val="231F20"/>
        </w:rPr>
      </w:pPr>
    </w:p>
    <w:p>
      <w:pPr>
        <w:ind w:left="980" w:right="2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size of the market opportunity for epetraborole or any other product candidates we may develop in each of the diseases we target;</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pricing, coverage, and reimbursement of epetraborole, if approved;</w:t>
      </w:r>
    </w:p>
    <w:p>
      <w:pPr>
        <w:spacing w:after="0" w:line="133" w:lineRule="exact"/>
        <w:rPr>
          <w:rFonts w:ascii="Arial" w:cs="Arial" w:eastAsia="Arial" w:hAnsi="Arial"/>
          <w:sz w:val="20"/>
          <w:szCs w:val="20"/>
          <w:color w:val="231F20"/>
        </w:rPr>
      </w:pPr>
    </w:p>
    <w:p>
      <w:pPr>
        <w:ind w:left="980" w:right="22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implementation of our business model, strategic plans for our business, and our initial product candidate and any other product candidates we may develop;</w:t>
      </w:r>
    </w:p>
    <w:p>
      <w:pPr>
        <w:spacing w:after="0" w:line="53" w:lineRule="exact"/>
        <w:rPr>
          <w:rFonts w:ascii="Arial" w:cs="Arial" w:eastAsia="Arial" w:hAnsi="Arial"/>
          <w:sz w:val="20"/>
          <w:szCs w:val="20"/>
          <w:color w:val="231F20"/>
        </w:rPr>
      </w:pPr>
    </w:p>
    <w:p>
      <w:pPr>
        <w:ind w:left="980" w:right="920" w:hanging="490"/>
        <w:spacing w:after="0" w:line="282" w:lineRule="auto"/>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the scope of protection we are able to establish and maintain for intellectual property rights covering epetraborole and any other product candidates;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our ability to identify additional product candidates and advance them into clinical development;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our financial performance;</w:t>
      </w:r>
    </w:p>
    <w:p>
      <w:pPr>
        <w:sectPr>
          <w:pgSz w:w="11880" w:h="15480" w:orient="portrait"/>
          <w:cols w:equalWidth="0" w:num="1">
            <w:col w:w="10720"/>
          </w:cols>
          <w:pgMar w:left="540" w:top="746" w:right="62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10720"/>
          </w:cols>
          <w:pgMar w:left="540" w:top="746" w:right="620" w:bottom="0" w:gutter="0" w:footer="0" w:header="0"/>
          <w:type w:val="continuous"/>
        </w:sectPr>
      </w:pPr>
    </w:p>
    <w:bookmarkStart w:id="3" w:name="page4"/>
    <w:bookmarkEnd w:id="3"/>
    <w:p>
      <w:pPr>
        <w:ind w:left="980" w:hanging="490"/>
        <w:spacing w:after="0"/>
        <w:tabs>
          <w:tab w:leader="none" w:pos="980" w:val="left"/>
        </w:tabs>
        <w:numPr>
          <w:ilvl w:val="0"/>
          <w:numId w:val="4"/>
        </w:numPr>
        <w:rPr>
          <w:rFonts w:ascii="Arial" w:cs="Arial" w:eastAsia="Arial" w:hAnsi="Arial"/>
          <w:sz w:val="20"/>
          <w:szCs w:val="20"/>
          <w:color w:val="231F20"/>
        </w:rPr>
      </w:pPr>
      <w:r>
        <w:rPr>
          <w:rFonts w:ascii="Arial" w:cs="Arial" w:eastAsia="Arial" w:hAnsi="Arial"/>
          <w:sz w:val="20"/>
          <w:szCs w:val="20"/>
          <w:color w:val="231F20"/>
        </w:rPr>
        <w:t>developments relating to our competitors and our industry;</w:t>
      </w:r>
    </w:p>
    <w:p>
      <w:pPr>
        <w:spacing w:after="0" w:line="133" w:lineRule="exact"/>
        <w:rPr>
          <w:rFonts w:ascii="Arial" w:cs="Arial" w:eastAsia="Arial" w:hAnsi="Arial"/>
          <w:sz w:val="20"/>
          <w:szCs w:val="20"/>
          <w:color w:val="231F20"/>
        </w:rPr>
      </w:pPr>
    </w:p>
    <w:p>
      <w:pPr>
        <w:ind w:left="980" w:right="180" w:hanging="490"/>
        <w:spacing w:after="0" w:line="261" w:lineRule="auto"/>
        <w:tabs>
          <w:tab w:leader="none" w:pos="980" w:val="left"/>
        </w:tabs>
        <w:numPr>
          <w:ilvl w:val="0"/>
          <w:numId w:val="4"/>
        </w:numPr>
        <w:rPr>
          <w:rFonts w:ascii="Arial" w:cs="Arial" w:eastAsia="Arial" w:hAnsi="Arial"/>
          <w:sz w:val="20"/>
          <w:szCs w:val="20"/>
          <w:color w:val="231F20"/>
        </w:rPr>
      </w:pPr>
      <w:r>
        <w:rPr>
          <w:rFonts w:ascii="Arial" w:cs="Arial" w:eastAsia="Arial" w:hAnsi="Arial"/>
          <w:sz w:val="20"/>
          <w:szCs w:val="20"/>
          <w:color w:val="231F20"/>
        </w:rPr>
        <w:t>our expectations regarding the impact of inflation, macroeconomic conditions and geopolitical conflicts on our business and operations, including on our manufacturing suppliers, collaborators, contract research organizations (“CROs”) and employees; and</w:t>
      </w:r>
    </w:p>
    <w:p>
      <w:pPr>
        <w:spacing w:after="0" w:line="73" w:lineRule="exact"/>
        <w:rPr>
          <w:rFonts w:ascii="Arial" w:cs="Arial" w:eastAsia="Arial" w:hAnsi="Arial"/>
          <w:sz w:val="20"/>
          <w:szCs w:val="20"/>
          <w:color w:val="231F20"/>
        </w:rPr>
      </w:pPr>
    </w:p>
    <w:p>
      <w:pPr>
        <w:ind w:left="980" w:right="200" w:hanging="490"/>
        <w:spacing w:after="0" w:line="282" w:lineRule="auto"/>
        <w:tabs>
          <w:tab w:leader="none" w:pos="980" w:val="left"/>
        </w:tabs>
        <w:numPr>
          <w:ilvl w:val="0"/>
          <w:numId w:val="4"/>
        </w:numPr>
        <w:rPr>
          <w:rFonts w:ascii="Arial" w:cs="Arial" w:eastAsia="Arial" w:hAnsi="Arial"/>
          <w:sz w:val="20"/>
          <w:szCs w:val="20"/>
          <w:color w:val="231F20"/>
        </w:rPr>
      </w:pPr>
      <w:r>
        <w:rPr>
          <w:rFonts w:ascii="Arial" w:cs="Arial" w:eastAsia="Arial" w:hAnsi="Arial"/>
          <w:sz w:val="20"/>
          <w:szCs w:val="20"/>
          <w:color w:val="231F20"/>
        </w:rPr>
        <w:t>our expectations regarding the period during which we will qualify as an emerging growth company under the Jumpstart Our Business Startups Act of 2012 (the “JOBS Act”).</w:t>
      </w:r>
    </w:p>
    <w:p>
      <w:pPr>
        <w:spacing w:after="0" w:line="160"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in Part I, Item 1A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whether as a result of any new information, future events, or otherwise.</w:t>
      </w:r>
    </w:p>
    <w:p>
      <w:pPr>
        <w:spacing w:after="0" w:line="206" w:lineRule="exact"/>
        <w:rPr>
          <w:sz w:val="20"/>
          <w:szCs w:val="20"/>
          <w:color w:val="auto"/>
        </w:rPr>
      </w:pPr>
    </w:p>
    <w:p>
      <w:pPr>
        <w:ind w:right="100" w:firstLine="490"/>
        <w:spacing w:after="0" w:line="248" w:lineRule="auto"/>
        <w:rPr>
          <w:sz w:val="20"/>
          <w:szCs w:val="20"/>
          <w:color w:val="auto"/>
        </w:rPr>
      </w:pPr>
      <w:r>
        <w:rPr>
          <w:rFonts w:ascii="Arial" w:cs="Arial" w:eastAsia="Arial" w:hAnsi="Arial"/>
          <w:sz w:val="20"/>
          <w:szCs w:val="20"/>
          <w:color w:val="231F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800"/>
          </w:cols>
          <w:pgMar w:left="540" w:top="764" w:right="540" w:bottom="0" w:gutter="0" w:footer="0" w:header="0"/>
          <w:type w:val="continuous"/>
        </w:sectPr>
      </w:pPr>
    </w:p>
    <w:bookmarkStart w:id="4" w:name="page5"/>
    <w:bookmarkEnd w:id="4"/>
    <w:p>
      <w:pPr>
        <w:jc w:val="center"/>
        <w:ind w:right="-499"/>
        <w:spacing w:after="0"/>
        <w:rPr>
          <w:sz w:val="20"/>
          <w:szCs w:val="20"/>
          <w:color w:val="auto"/>
        </w:rPr>
      </w:pPr>
      <w:r>
        <w:rPr>
          <w:rFonts w:ascii="Arial" w:cs="Arial" w:eastAsia="Arial" w:hAnsi="Arial"/>
          <w:sz w:val="20"/>
          <w:szCs w:val="20"/>
          <w:b w:val="1"/>
          <w:bCs w:val="1"/>
          <w:color w:val="231F20"/>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 Business.</w:t>
      </w:r>
    </w:p>
    <w:p>
      <w:pPr>
        <w:spacing w:after="0" w:line="132"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i w:val="1"/>
          <w:iCs w:val="1"/>
          <w:color w:val="231F20"/>
        </w:rPr>
        <w:t xml:space="preserve">All brand names or trademarks appearing in this report are the property of their respective owners. Unless the context requires otherwise, references in this report to </w:t>
      </w:r>
      <w:r>
        <w:rPr>
          <w:rFonts w:ascii="Arial" w:cs="Arial" w:eastAsia="Arial" w:hAnsi="Arial"/>
          <w:sz w:val="20"/>
          <w:szCs w:val="20"/>
          <w:b w:val="1"/>
          <w:bCs w:val="1"/>
          <w:i w:val="1"/>
          <w:iCs w:val="1"/>
          <w:color w:val="231F20"/>
        </w:rPr>
        <w:t>“</w:t>
      </w:r>
      <w:r>
        <w:rPr>
          <w:rFonts w:ascii="Arial" w:cs="Arial" w:eastAsia="Arial" w:hAnsi="Arial"/>
          <w:sz w:val="20"/>
          <w:szCs w:val="20"/>
          <w:i w:val="1"/>
          <w:iCs w:val="1"/>
          <w:color w:val="231F20"/>
        </w:rPr>
        <w:t>AN2,” “we,” “our,” the “Company” or the “Registrant” refer to AN2 Therapeutics.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Overview</w:t>
      </w:r>
    </w:p>
    <w:p>
      <w:pPr>
        <w:spacing w:after="0" w:line="124" w:lineRule="exact"/>
        <w:rPr>
          <w:sz w:val="20"/>
          <w:szCs w:val="20"/>
          <w:color w:val="auto"/>
        </w:rPr>
      </w:pPr>
    </w:p>
    <w:p>
      <w:pPr>
        <w:ind w:right="60" w:firstLine="490"/>
        <w:spacing w:after="0" w:line="267" w:lineRule="auto"/>
        <w:rPr>
          <w:sz w:val="20"/>
          <w:szCs w:val="20"/>
          <w:color w:val="auto"/>
        </w:rPr>
      </w:pPr>
      <w:r>
        <w:rPr>
          <w:rFonts w:ascii="Arial" w:cs="Arial" w:eastAsia="Arial" w:hAnsi="Arial"/>
          <w:sz w:val="19"/>
          <w:szCs w:val="19"/>
          <w:color w:val="231F20"/>
        </w:rPr>
        <w:t>We are a clinical stage biopharmaceutical company focused on the discovery and development of novel small-molecule therapeutics derived from our boron chemistry platform. Our development pipeline spans hematologic diseases, infectious diseases, and oncology with three Phase 2 studies expected to initiate in 2026, two preclinical candidates, as well as advanced research programs focused on targets in oncology, bone disorders, and infectious diseases. We are committed to delivering high-impact drugs to patients that address critical unmet needs and improve health outcomes.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Pipeline</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Our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858000" cy="3114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extLst>
                    </a:blip>
                    <a:srcRect/>
                    <a:stretch>
                      <a:fillRect/>
                    </a:stretch>
                  </pic:blipFill>
                  <pic:spPr bwMode="auto">
                    <a:xfrm>
                      <a:off x="0" y="0"/>
                      <a:ext cx="6858000" cy="311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231F20"/>
        </w:rPr>
        <w:t>Figure 1. Company Pipeline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Epetraborole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Polycythemia vera</w:t>
      </w:r>
    </w:p>
    <w:p>
      <w:pPr>
        <w:spacing w:after="0" w:line="112"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 xml:space="preserve">In March 2026, we announced our plan to expand the development of oral epetraborole into a Phase 2 proof-of-concept clinical study in adults with phlebotomy-dependent polycythemia vera </w:t>
      </w:r>
      <w:r>
        <w:rPr>
          <w:rFonts w:ascii="Arial" w:cs="Arial" w:eastAsia="Arial" w:hAnsi="Arial"/>
          <w:sz w:val="20"/>
          <w:szCs w:val="20"/>
          <w:i w:val="1"/>
          <w:iCs w:val="1"/>
          <w:color w:val="231F20"/>
        </w:rPr>
        <w:t>(</w:t>
      </w:r>
      <w:r>
        <w:rPr>
          <w:rFonts w:ascii="Arial" w:cs="Arial" w:eastAsia="Arial" w:hAnsi="Arial"/>
          <w:sz w:val="20"/>
          <w:szCs w:val="20"/>
          <w:color w:val="231F20"/>
        </w:rPr>
        <w:t>“PV”). PV is a blood cancer characterized by overproduction of red blood cells in the bone marrow. This overproduction increases hematocrit, which can lead to serious medical complications including arterial and venous thromboembolic events. If untreated, PV can be life-threatening. Despite available therapies, many patients experience uncontrolled hematocrit levels and persistent symptom burden, requiring long-term management to maintain adequate disease control. PV is estimated to affect approximately 155,000 people in the U.S.</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780"/>
          </w:cols>
          <w:pgMar w:left="540" w:top="746" w:right="560" w:bottom="0" w:gutter="0" w:footer="0" w:header="0"/>
          <w:type w:val="continuous"/>
        </w:sectPr>
      </w:pPr>
    </w:p>
    <w:bookmarkStart w:id="5" w:name="page6"/>
    <w:bookmarkEnd w:id="5"/>
    <w:p>
      <w:pPr>
        <w:ind w:firstLine="490"/>
        <w:spacing w:after="0" w:line="245" w:lineRule="auto"/>
        <w:rPr>
          <w:sz w:val="20"/>
          <w:szCs w:val="20"/>
          <w:color w:val="auto"/>
        </w:rPr>
      </w:pPr>
      <w:r>
        <w:rPr>
          <w:rFonts w:ascii="Arial" w:cs="Arial" w:eastAsia="Arial" w:hAnsi="Arial"/>
          <w:sz w:val="20"/>
          <w:szCs w:val="20"/>
          <w:color w:val="231F20"/>
        </w:rPr>
        <w:t>We are proceeding through the regulatory process and anticipate initiating the Phase 2 trial in India in the third quarter of 2026. We expect to provide periodic data readouts beginning as early as the fourth quarter of 2026 and throughout 2027, subject to regulatory clearance and enrollment progress. The Phase 2 study is expected to consist of an open-label epetraborole sentinel cohort, an open-label dose optimization cohort for dose selection (Part 1), followed by a double-blind, randomized, placebo-controlled cohort (Part 2), and an optional open-label extension cohort (Part 3). The study is designed to assess the efficacy of oral epetraborole in phlebotomy-dependent adults with PV and its effect on key hematological variables, to optimize a dose regimen on a by-patient level, to assess safety and tolerability, to assess patient-reported outcomes (“PROs”) using validated PRO instruments, and to assess other key hematological parameters. We expect to enroll approximately 40-50 patients across 3-5 or more sites.</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Mycobacterium abscessus complex lung disease</w:t>
      </w:r>
    </w:p>
    <w:p>
      <w:pPr>
        <w:spacing w:after="0" w:line="112" w:lineRule="exact"/>
        <w:rPr>
          <w:sz w:val="20"/>
          <w:szCs w:val="20"/>
          <w:color w:val="auto"/>
        </w:rPr>
      </w:pPr>
    </w:p>
    <w:p>
      <w:pPr>
        <w:ind w:right="100" w:firstLine="490"/>
        <w:spacing w:after="0" w:line="246" w:lineRule="auto"/>
        <w:rPr>
          <w:sz w:val="20"/>
          <w:szCs w:val="20"/>
          <w:color w:val="auto"/>
        </w:rPr>
      </w:pPr>
      <w:r>
        <w:rPr>
          <w:rFonts w:ascii="Arial" w:cs="Arial" w:eastAsia="Arial" w:hAnsi="Arial"/>
          <w:sz w:val="20"/>
          <w:szCs w:val="20"/>
          <w:color w:val="231F20"/>
        </w:rPr>
        <w:t xml:space="preserve">In December 2025, the </w:t>
      </w:r>
      <w:r>
        <w:rPr>
          <w:rFonts w:ascii="Arial" w:cs="Arial" w:eastAsia="Arial" w:hAnsi="Arial"/>
          <w:sz w:val="19"/>
          <w:szCs w:val="19"/>
          <w:color w:val="231F20"/>
        </w:rPr>
        <w:t>U.S. Food and Drug Administration (“FDA”)</w:t>
      </w:r>
      <w:r>
        <w:rPr>
          <w:rFonts w:ascii="Arial" w:cs="Arial" w:eastAsia="Arial" w:hAnsi="Arial"/>
          <w:sz w:val="20"/>
          <w:szCs w:val="20"/>
          <w:color w:val="231F20"/>
        </w:rPr>
        <w:t xml:space="preserve"> cleared an Investigational New Drug Application (“IND”) to proceed with a Phase 2 investigator-initiated study (“IIT”) in collaboration with Oregon Health and Sciences University (“OHSU”) evaluating epetraborole for the treatment of </w:t>
      </w:r>
      <w:r>
        <w:rPr>
          <w:rFonts w:ascii="Arial" w:cs="Arial" w:eastAsia="Arial" w:hAnsi="Arial"/>
          <w:sz w:val="20"/>
          <w:szCs w:val="20"/>
          <w:i w:val="1"/>
          <w:iCs w:val="1"/>
          <w:color w:val="231F20"/>
        </w:rPr>
        <w:t>Mycobacterium abscessus (</w:t>
      </w:r>
      <w:r>
        <w:rPr>
          <w:rFonts w:ascii="Arial" w:cs="Arial" w:eastAsia="Arial" w:hAnsi="Arial"/>
          <w:sz w:val="20"/>
          <w:szCs w:val="20"/>
          <w:color w:val="231F20"/>
        </w:rPr>
        <w:t>“</w:t>
      </w:r>
      <w:r>
        <w:rPr>
          <w:rFonts w:ascii="Arial" w:cs="Arial" w:eastAsia="Arial" w:hAnsi="Arial"/>
          <w:sz w:val="20"/>
          <w:szCs w:val="20"/>
          <w:i w:val="1"/>
          <w:iCs w:val="1"/>
          <w:color w:val="231F20"/>
        </w:rPr>
        <w:t>M. abscessus</w:t>
      </w:r>
      <w:r>
        <w:rPr>
          <w:rFonts w:ascii="Arial" w:cs="Arial" w:eastAsia="Arial" w:hAnsi="Arial"/>
          <w:sz w:val="20"/>
          <w:szCs w:val="20"/>
          <w:color w:val="231F20"/>
        </w:rPr>
        <w:t>”</w:t>
      </w:r>
      <w:r>
        <w:rPr>
          <w:rFonts w:ascii="Arial" w:cs="Arial" w:eastAsia="Arial" w:hAnsi="Arial"/>
          <w:sz w:val="20"/>
          <w:szCs w:val="20"/>
          <w:i w:val="1"/>
          <w:iCs w:val="1"/>
          <w:color w:val="231F20"/>
        </w:rPr>
        <w:t>)</w:t>
      </w:r>
      <w:r>
        <w:rPr>
          <w:rFonts w:ascii="Arial" w:cs="Arial" w:eastAsia="Arial" w:hAnsi="Arial"/>
          <w:sz w:val="20"/>
          <w:szCs w:val="20"/>
          <w:color w:val="231F20"/>
        </w:rPr>
        <w:t xml:space="preserve"> complex lung disease. This multicenter, randomized, double-blind, placebo-controlled, prospective clinical study will be led by Dr. Kevin Winthrop, Professor of Public Health and Infectious Diseases at OHSU, in conjunction with other investigators across an estimated 10-15 sites in the U.S. </w:t>
      </w:r>
      <w:r>
        <w:rPr>
          <w:rFonts w:ascii="Arial" w:cs="Arial" w:eastAsia="Arial" w:hAnsi="Arial"/>
          <w:sz w:val="20"/>
          <w:szCs w:val="20"/>
          <w:i w:val="1"/>
          <w:iCs w:val="1"/>
          <w:color w:val="231F20"/>
        </w:rPr>
        <w:t>M. abscessus</w:t>
      </w:r>
      <w:r>
        <w:rPr>
          <w:rFonts w:ascii="Arial" w:cs="Arial" w:eastAsia="Arial" w:hAnsi="Arial"/>
          <w:sz w:val="20"/>
          <w:szCs w:val="20"/>
          <w:color w:val="231F20"/>
        </w:rPr>
        <w:t xml:space="preserve"> lung disease is a serious and difficult-to-treat non-tuberculous mycobacterial infection requiring prolonged therapy including IV-only antibiotics and characterized by limited treatment options and high rates of morbidity, and 5-year mortality. No FDA-approved drugs currently exist for its treatment.</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We expect to initiate enrollment in the first quarter of 2026 and to report topline results in late 2027.</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AN2-502998</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Chagas disease</w:t>
      </w:r>
    </w:p>
    <w:p>
      <w:pPr>
        <w:spacing w:after="0" w:line="112"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231F20"/>
        </w:rPr>
        <w:t xml:space="preserve">In August 2025, as part of our Chagas disease clinical development program, we commenced our Phase 1 first-in-human trial of oral AN2-502998 in healthy volunteers. Chagas disease (American trypanosomiasis), is an infectious disease caused by </w:t>
      </w:r>
      <w:r>
        <w:rPr>
          <w:rFonts w:ascii="Arial" w:cs="Arial" w:eastAsia="Arial" w:hAnsi="Arial"/>
          <w:sz w:val="20"/>
          <w:szCs w:val="20"/>
          <w:i w:val="1"/>
          <w:iCs w:val="1"/>
          <w:color w:val="231F20"/>
        </w:rPr>
        <w:t>Trypanosoma cruzi</w:t>
      </w:r>
      <w:r>
        <w:rPr>
          <w:rFonts w:ascii="Arial" w:cs="Arial" w:eastAsia="Arial" w:hAnsi="Arial"/>
          <w:sz w:val="20"/>
          <w:szCs w:val="20"/>
          <w:color w:val="231F20"/>
        </w:rPr>
        <w:t xml:space="preserve">, which affects an estimated 6-10 million people worldwide, including approximately 300,000 people in the U.S. and over 100,000 in Europe. Chagas disease can remain asymptomatic for years before progressing to chronic disease. In approximately 20–30% of infected individuals, chronic infection leads to serious cardiac and gastrointestinal complications, including cardiomyopathy, heart failure, arrhythmias, stroke, and megacolon or megaesophagus, which can result in significant morbidity and premature death. AN2-502998 is the only compound of which we are aware to have demonstrated curative activity in preclinical studies across multiple species, including in nonhuman primates (“NHPs”) with long-term, naturally acquired chronic infections caused by diverse </w:t>
      </w:r>
      <w:r>
        <w:rPr>
          <w:rFonts w:ascii="Arial" w:cs="Arial" w:eastAsia="Arial" w:hAnsi="Arial"/>
          <w:sz w:val="20"/>
          <w:szCs w:val="20"/>
          <w:i w:val="1"/>
          <w:iCs w:val="1"/>
          <w:color w:val="231F20"/>
        </w:rPr>
        <w:t>T. cruzi</w:t>
      </w:r>
      <w:r>
        <w:rPr>
          <w:rFonts w:ascii="Arial" w:cs="Arial" w:eastAsia="Arial" w:hAnsi="Arial"/>
          <w:sz w:val="20"/>
          <w:szCs w:val="20"/>
          <w:color w:val="231F20"/>
        </w:rPr>
        <w:t xml:space="preserve"> genetic types. Because NHP infections are naturally acquired in the environment, these efficacy data may be more predictive of efficacy in human clinical trials than other animal models. There are no FDA-approved treatments for adults with Chagas disease.</w:t>
      </w:r>
    </w:p>
    <w:p>
      <w:pPr>
        <w:spacing w:after="0" w:line="206" w:lineRule="exact"/>
        <w:rPr>
          <w:sz w:val="20"/>
          <w:szCs w:val="20"/>
          <w:color w:val="auto"/>
        </w:rPr>
      </w:pPr>
    </w:p>
    <w:p>
      <w:pPr>
        <w:ind w:right="120" w:firstLine="490"/>
        <w:spacing w:after="0" w:line="261" w:lineRule="auto"/>
        <w:rPr>
          <w:sz w:val="20"/>
          <w:szCs w:val="20"/>
          <w:color w:val="auto"/>
        </w:rPr>
      </w:pPr>
      <w:r>
        <w:rPr>
          <w:rFonts w:ascii="Arial" w:cs="Arial" w:eastAsia="Arial" w:hAnsi="Arial"/>
          <w:sz w:val="20"/>
          <w:szCs w:val="20"/>
          <w:color w:val="231F20"/>
        </w:rPr>
        <w:t>Our Phase 1 first-in-human trial with oral AN2-502998 is nearing completion, with initial clinical data expected in the first quarter of 2026 and initiation of the proof-of-concept Phase 2 trial in patients with chronic Chagas disease in 2026, depending on the outcome and timing of completion of the Phase 1 study.</w:t>
      </w:r>
    </w:p>
    <w:p>
      <w:pPr>
        <w:spacing w:after="0" w:line="180" w:lineRule="exact"/>
        <w:rPr>
          <w:sz w:val="20"/>
          <w:szCs w:val="20"/>
          <w:color w:val="auto"/>
        </w:rPr>
      </w:pPr>
    </w:p>
    <w:p>
      <w:pPr>
        <w:ind w:right="60" w:firstLine="490"/>
        <w:spacing w:after="0" w:line="261" w:lineRule="auto"/>
        <w:rPr>
          <w:sz w:val="20"/>
          <w:szCs w:val="20"/>
          <w:color w:val="auto"/>
        </w:rPr>
      </w:pPr>
      <w:r>
        <w:rPr>
          <w:rFonts w:ascii="Arial" w:cs="Arial" w:eastAsia="Arial" w:hAnsi="Arial"/>
          <w:sz w:val="20"/>
          <w:szCs w:val="20"/>
          <w:color w:val="231F20"/>
        </w:rPr>
        <w:t>FDA approval of a treatment for Chagas disease, which is designated as a tropical disease under Section 524 of the Federal Food, Drug, and Cosmetic Act (“FDCA”), would qualify us to receive a priority review voucher intended to incentivize the development of therapies for neglected infectious diseases.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Research and Development Initiatives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Oncology</w:t>
      </w:r>
    </w:p>
    <w:p>
      <w:pPr>
        <w:spacing w:after="0" w:line="128" w:lineRule="exact"/>
        <w:rPr>
          <w:sz w:val="20"/>
          <w:szCs w:val="20"/>
          <w:color w:val="auto"/>
        </w:rPr>
      </w:pPr>
    </w:p>
    <w:p>
      <w:pPr>
        <w:ind w:right="260" w:firstLine="490"/>
        <w:spacing w:after="0" w:line="271" w:lineRule="auto"/>
        <w:rPr>
          <w:sz w:val="20"/>
          <w:szCs w:val="20"/>
          <w:color w:val="auto"/>
        </w:rPr>
      </w:pPr>
      <w:r>
        <w:rPr>
          <w:rFonts w:ascii="Arial" w:cs="Arial" w:eastAsia="Arial" w:hAnsi="Arial"/>
          <w:sz w:val="20"/>
          <w:szCs w:val="20"/>
          <w:color w:val="231F20"/>
        </w:rPr>
        <w:t>We are pursuing a number of oncology targets where we believe our boron chemistry may offer a competitive advantage in terms of binding-site differentiation, pharmacodynamics, drug-like properties and intellectual property. Our lead oncology programs target PI3Kα and ENPP1. We plan to advance two oncology candidates into development in 2026 targeting PI3Kα and ENPP1.</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10800"/>
          </w:cols>
          <w:pgMar w:left="540" w:top="750" w:right="540" w:bottom="0" w:gutter="0" w:footer="0" w:header="0"/>
          <w:type w:val="continuous"/>
        </w:sectPr>
      </w:pPr>
    </w:p>
    <w:bookmarkStart w:id="6" w:name="page7"/>
    <w:bookmarkEnd w:id="6"/>
    <w:p>
      <w:pPr>
        <w:ind w:right="20" w:firstLine="490"/>
        <w:spacing w:after="0" w:line="260" w:lineRule="auto"/>
        <w:rPr>
          <w:sz w:val="20"/>
          <w:szCs w:val="20"/>
          <w:color w:val="auto"/>
        </w:rPr>
      </w:pPr>
      <w:r>
        <w:rPr>
          <w:rFonts w:ascii="Arial" w:cs="Arial" w:eastAsia="Arial" w:hAnsi="Arial"/>
          <w:sz w:val="20"/>
          <w:szCs w:val="20"/>
          <w:color w:val="231F20"/>
        </w:rPr>
        <w:t>PI3Kα: We are advancing a preclinical oncology program focused on the development of a selective, pan-mutant PI3Kα inhibitor. Activating mutations in PIK3Cα are among the most common oncogenic drivers across solid tumors and occur in both kinase-domain and helical-domain forms, with substantial prevalence in breast, endometrial, colorectal, and other cancers. Clinical experience with existing PI3Kα inhibitors, while highly effective, have a high rate of side effects, particularly treatment-limiting hyperglycemia. Second generation molecules target mutants with selectivity over wild-type that has been shown to cause hyperglycemia, however preclinical and clinical date show activity that is biased toward kinase-domain mutations, leaving over half of patients with helical domain mutations with lower efficacy potential and greater exposure to toxicities. Our PI3Kα program is designed to address these limitations by targeting true pan-mutant coverage across both kinase and helical mutations while maintaining selectivity over wild-type PI3Kα. Preclinical studies of lead compounds derived from our boron chemistry platform have demonstrated potent activity against multiple clinically relevant PIK3Cα mutations, in vivo antitumor activity in murine models, and tumor regression without evidence of hyperglycemia or hyperinsulinemia in these models. We believe these results, if replicated in future studies, could support a differentiated therapeutic approach aimed at improving tolerability and enabling more durable disease control in patients with PIK3CA-mutant cancers.</w:t>
      </w:r>
    </w:p>
    <w:p>
      <w:pPr>
        <w:spacing w:after="0" w:line="197" w:lineRule="exact"/>
        <w:rPr>
          <w:sz w:val="20"/>
          <w:szCs w:val="20"/>
          <w:color w:val="auto"/>
        </w:rPr>
      </w:pPr>
    </w:p>
    <w:p>
      <w:pPr>
        <w:ind w:right="80" w:firstLine="490"/>
        <w:spacing w:after="0" w:line="260" w:lineRule="auto"/>
        <w:rPr>
          <w:sz w:val="20"/>
          <w:szCs w:val="20"/>
          <w:color w:val="auto"/>
        </w:rPr>
      </w:pPr>
      <w:r>
        <w:rPr>
          <w:rFonts w:ascii="Arial" w:cs="Arial" w:eastAsia="Arial" w:hAnsi="Arial"/>
          <w:sz w:val="20"/>
          <w:szCs w:val="20"/>
          <w:color w:val="231F20"/>
        </w:rPr>
        <w:t>ENPP1: We are also advancing a preclinical oncology program focused on inhibition of ectonucleotide pyrophosphatase/phosphodiesterase 1 (“ENPP1”), an enzyme implicated in tumor immune evasion. ENPP1 is expressed on the surface of certain tumor cells, where it degrades cyclic GMP–AMP (“cGAMP”), a key signaling molecule in the cGAS–STING pathway that mediates innate immune activation in response to tumor-derived DNA. Elevated ENPP1 expression has been observed across multiple solid tumor types, including colorectal, lung, pancreatic, and breast cancers, and may contribute to immune suppression within the tumor microenvironment. In contrast to direct STING agonists, which can produce rapid and systemic inflammatory responses, ENPP1 inhibition is designed to preserve endogenous cGAMP signaling and enable more localized and sustained immune activation. Preclinical studies of ENPP1 inhibitors derived from our boron chemistry platform have demonstrated antitumor activity in murine models, including tumor growth inhibition and durable responses when used in combination with the immune checkpoint blockade. We believe this approach, if successfully translated into the clinic, could support a differentiated immuno-oncology strategy with the potential to enhance antitumor immunity while maintaining a favorable therapeutic window.</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Global Health Programs</w:t>
      </w:r>
    </w:p>
    <w:p>
      <w:pPr>
        <w:spacing w:after="0" w:line="116"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231F20"/>
        </w:rPr>
        <w:t>Our global health strategy focuses on leveraging our proprietary boron chemistry platform to develop treatments for infectious diseases that disproportionately affect underserved populations. These programs are funded primarily through non-dilutive grant funding, including sources such as public and private agencies and foundations. Our global health programs include melioidosis, a severe bacterial infection associated with high death rates in endemic regions (funded by the U.S. government), and tuberculosis, a leading cause of death from infectious disease worldwide that affects millions of people each year in partnership with the Gates Foundation and GSK.</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Strategy</w:t>
      </w:r>
    </w:p>
    <w:p>
      <w:pPr>
        <w:spacing w:after="0" w:line="116" w:lineRule="exact"/>
        <w:rPr>
          <w:sz w:val="20"/>
          <w:szCs w:val="20"/>
          <w:color w:val="auto"/>
        </w:rPr>
      </w:pPr>
    </w:p>
    <w:p>
      <w:pPr>
        <w:ind w:right="160" w:firstLine="490"/>
        <w:spacing w:after="0" w:line="299" w:lineRule="auto"/>
        <w:rPr>
          <w:sz w:val="20"/>
          <w:szCs w:val="20"/>
          <w:color w:val="auto"/>
        </w:rPr>
      </w:pPr>
      <w:r>
        <w:rPr>
          <w:rFonts w:ascii="Arial" w:cs="Arial" w:eastAsia="Arial" w:hAnsi="Arial"/>
          <w:sz w:val="20"/>
          <w:szCs w:val="20"/>
          <w:color w:val="231F20"/>
        </w:rPr>
        <w:t>Our strategy is to be a leader in the discovery and development of novel boron-based, small-molecule therapeutics across multiple disease areas. Key elements of our strategy include:</w:t>
      </w:r>
    </w:p>
    <w:p>
      <w:pPr>
        <w:spacing w:after="0" w:line="57" w:lineRule="exact"/>
        <w:rPr>
          <w:sz w:val="20"/>
          <w:szCs w:val="20"/>
          <w:color w:val="auto"/>
        </w:rPr>
      </w:pPr>
    </w:p>
    <w:p>
      <w:pPr>
        <w:ind w:left="1220" w:right="40" w:hanging="370"/>
        <w:spacing w:after="0" w:line="276" w:lineRule="auto"/>
        <w:tabs>
          <w:tab w:leader="none" w:pos="1220" w:val="left"/>
        </w:tabs>
        <w:numPr>
          <w:ilvl w:val="0"/>
          <w:numId w:val="5"/>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Advance our boron-based product candidates through clinical development. </w:t>
      </w:r>
      <w:r>
        <w:rPr>
          <w:rFonts w:ascii="Arial" w:cs="Arial" w:eastAsia="Arial" w:hAnsi="Arial"/>
          <w:sz w:val="20"/>
          <w:szCs w:val="20"/>
          <w:i w:val="1"/>
          <w:iCs w:val="1"/>
          <w:color w:val="231F20"/>
        </w:rPr>
        <w:t>Progress our lead assets</w:t>
      </w:r>
      <w:r>
        <w:rPr>
          <w:rFonts w:ascii="Arial" w:cs="Arial" w:eastAsia="Arial" w:hAnsi="Arial"/>
          <w:sz w:val="20"/>
          <w:szCs w:val="20"/>
          <w:b w:val="1"/>
          <w:bCs w:val="1"/>
          <w:i w:val="1"/>
          <w:iCs w:val="1"/>
          <w:color w:val="231F20"/>
        </w:rPr>
        <w:t xml:space="preserve"> </w:t>
      </w:r>
      <w:r>
        <w:rPr>
          <w:rFonts w:ascii="Arial" w:cs="Arial" w:eastAsia="Arial" w:hAnsi="Arial"/>
          <w:sz w:val="20"/>
          <w:szCs w:val="20"/>
          <w:i w:val="1"/>
          <w:iCs w:val="1"/>
          <w:color w:val="231F20"/>
        </w:rPr>
        <w:t>through Phase 2 and into later-stage studies, with a focus on demonstrating safety, efficacy, and a clear development path through potential registration.</w:t>
      </w:r>
    </w:p>
    <w:p>
      <w:pPr>
        <w:spacing w:after="0" w:line="78" w:lineRule="exact"/>
        <w:rPr>
          <w:rFonts w:ascii="Arial" w:cs="Arial" w:eastAsia="Arial" w:hAnsi="Arial"/>
          <w:sz w:val="20"/>
          <w:szCs w:val="20"/>
          <w:color w:val="231F20"/>
        </w:rPr>
      </w:pPr>
    </w:p>
    <w:p>
      <w:pPr>
        <w:ind w:left="1220" w:right="20" w:hanging="370"/>
        <w:spacing w:after="0" w:line="276" w:lineRule="auto"/>
        <w:tabs>
          <w:tab w:leader="none" w:pos="1220" w:val="left"/>
        </w:tabs>
        <w:numPr>
          <w:ilvl w:val="0"/>
          <w:numId w:val="5"/>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Advance and expand research pipeline. </w:t>
      </w:r>
      <w:r>
        <w:rPr>
          <w:rFonts w:ascii="Arial" w:cs="Arial" w:eastAsia="Arial" w:hAnsi="Arial"/>
          <w:sz w:val="20"/>
          <w:szCs w:val="20"/>
          <w:i w:val="1"/>
          <w:iCs w:val="1"/>
          <w:color w:val="231F20"/>
        </w:rPr>
        <w:t>Apply our boron chemistry platform to discover and optimize new</w:t>
      </w:r>
      <w:r>
        <w:rPr>
          <w:rFonts w:ascii="Arial" w:cs="Arial" w:eastAsia="Arial" w:hAnsi="Arial"/>
          <w:sz w:val="20"/>
          <w:szCs w:val="20"/>
          <w:b w:val="1"/>
          <w:bCs w:val="1"/>
          <w:i w:val="1"/>
          <w:iCs w:val="1"/>
          <w:color w:val="231F20"/>
        </w:rPr>
        <w:t xml:space="preserve"> </w:t>
      </w:r>
      <w:r>
        <w:rPr>
          <w:rFonts w:ascii="Arial" w:cs="Arial" w:eastAsia="Arial" w:hAnsi="Arial"/>
          <w:sz w:val="20"/>
          <w:szCs w:val="20"/>
          <w:i w:val="1"/>
          <w:iCs w:val="1"/>
          <w:color w:val="231F20"/>
        </w:rPr>
        <w:t>molecules targeting high-value pathways in oncology, bone disorders, and infectious disease, ensuring a sustainable flow of future product candidates.</w:t>
      </w:r>
    </w:p>
    <w:p>
      <w:pPr>
        <w:spacing w:after="0" w:line="78" w:lineRule="exact"/>
        <w:rPr>
          <w:rFonts w:ascii="Arial" w:cs="Arial" w:eastAsia="Arial" w:hAnsi="Arial"/>
          <w:sz w:val="20"/>
          <w:szCs w:val="20"/>
          <w:color w:val="231F20"/>
        </w:rPr>
      </w:pPr>
    </w:p>
    <w:p>
      <w:pPr>
        <w:jc w:val="both"/>
        <w:ind w:left="1220" w:right="140" w:hanging="370"/>
        <w:spacing w:after="0" w:line="323" w:lineRule="auto"/>
        <w:tabs>
          <w:tab w:leader="none" w:pos="1220" w:val="left"/>
        </w:tabs>
        <w:numPr>
          <w:ilvl w:val="0"/>
          <w:numId w:val="5"/>
        </w:numPr>
        <w:rPr>
          <w:rFonts w:ascii="Arial" w:cs="Arial" w:eastAsia="Arial" w:hAnsi="Arial"/>
          <w:sz w:val="19"/>
          <w:szCs w:val="19"/>
          <w:color w:val="231F20"/>
        </w:rPr>
      </w:pPr>
      <w:r>
        <w:rPr>
          <w:rFonts w:ascii="Arial" w:cs="Arial" w:eastAsia="Arial" w:hAnsi="Arial"/>
          <w:sz w:val="19"/>
          <w:szCs w:val="19"/>
          <w:b w:val="1"/>
          <w:bCs w:val="1"/>
          <w:i w:val="1"/>
          <w:iCs w:val="1"/>
          <w:color w:val="231F20"/>
        </w:rPr>
        <w:t>Leverage non-dilutive funding to support global health programs</w:t>
      </w:r>
      <w:r>
        <w:rPr>
          <w:rFonts w:ascii="Arial" w:cs="Arial" w:eastAsia="Arial" w:hAnsi="Arial"/>
          <w:sz w:val="19"/>
          <w:szCs w:val="19"/>
          <w:i w:val="1"/>
          <w:iCs w:val="1"/>
          <w:color w:val="231F20"/>
        </w:rPr>
        <w:t>. Continue to secure and utilize non-dilutive capital, such as grants, government contracts and partnerships to advance global health programs.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780"/>
          </w:cols>
          <w:pgMar w:left="540" w:top="750" w:right="560" w:bottom="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231F20"/>
        </w:rPr>
        <w:t>Manufacturing</w:t>
      </w:r>
    </w:p>
    <w:p>
      <w:pPr>
        <w:spacing w:after="0" w:line="124"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color w:val="231F20"/>
        </w:rPr>
        <w:t>We do not own or operate manufacturing facilities for the production of any of our product candidates, nor do we have plans to develop our own manufacturing operations in the foreseeable future. We currently rely on a limited number of third-party contract manufacturers for all of our required raw materials, drug substance, and finished drug product for our preclinical and nonclinical studies and clinical trials. We currently employ internal resources to manage our third-party manufacturing.</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Licensing Agreements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License Agreement with Anacor Pharmaceuticals, Inc.</w:t>
      </w:r>
    </w:p>
    <w:p>
      <w:pPr>
        <w:spacing w:after="0" w:line="116"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231F20"/>
        </w:rPr>
        <w:t>In November 2019, we entered into a license agreement (the “Anacor Agreement”) with Anacor, pursuant to which we obtained a worldwide exclusive, sublicensable license under certain patent rights of Anacor and a non-exclusive license under certain know-how of Anacor to use, develop, manufacture, commercialize, or otherwise exploit certain compounds and products, including epetraborole, for the treatment, diagnosis, or prevention of all human diseases, and a worldwide non-exclusive license under certain chiral synthesis intellectual property rights from GSK for the sole purpose of manufacturing such compounds and products.</w:t>
      </w:r>
    </w:p>
    <w:p>
      <w:pPr>
        <w:spacing w:after="0" w:line="194"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231F20"/>
        </w:rPr>
        <w:t>We granted Anacor a non-exclusive, sublicensable license to develop, manufacture or use (but not commercialize) licensed products under all intellectual property rights that are both (i) related to the licensed products and (ii) conceived or reduced to practice by us, our affiliates, or our sublicensees. We also granted Anacor a right of first refusal in the event a priority review voucher is issued for a licensed product, and we desire to sell such priority review voucher.</w:t>
      </w:r>
    </w:p>
    <w:p>
      <w:pPr>
        <w:spacing w:after="0" w:line="186" w:lineRule="exact"/>
        <w:rPr>
          <w:sz w:val="20"/>
          <w:szCs w:val="20"/>
          <w:color w:val="auto"/>
        </w:rPr>
      </w:pPr>
    </w:p>
    <w:p>
      <w:pPr>
        <w:ind w:right="1240" w:firstLine="490"/>
        <w:spacing w:after="0" w:line="282" w:lineRule="auto"/>
        <w:rPr>
          <w:sz w:val="20"/>
          <w:szCs w:val="20"/>
          <w:color w:val="auto"/>
        </w:rPr>
      </w:pPr>
      <w:r>
        <w:rPr>
          <w:rFonts w:ascii="Arial" w:cs="Arial" w:eastAsia="Arial" w:hAnsi="Arial"/>
          <w:sz w:val="20"/>
          <w:szCs w:val="20"/>
          <w:color w:val="231F20"/>
        </w:rPr>
        <w:t>We are obligated to use commercially reasonable efforts to develop, seek regulatory approval for, and commercialize (where such regulatory approval is received) epetraborole.</w:t>
      </w:r>
    </w:p>
    <w:p>
      <w:pPr>
        <w:spacing w:after="0" w:line="160"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231F20"/>
        </w:rPr>
        <w:t>In connection with the execution of the Anacor Agreement, we paid Anacor a non-refundable upfront payment of $2.0 million and granted Anacor shares of Series A redeemable convertible preferred stock. Additionally, we agreed to make further payments to Anacor upon achievement of various development milestones for an aggregate maximum payment of $2.0 million,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We also agreed to pay Anacor non-refundable, non-creditable sales royalties on a tiered marginal royalty rate based on the country’s status as a developing or developed country as defined in the license agreement. Sales royalties are a percentage of net sales, as specified in the Anacor Agreement, and range from mid-single digit percentages for developing countries and single to mid-teen percentages for developed countries or the China, Hong Kong, Taiwan, and Macau territories. The sales royalties are required to be paid on a product-by-product and country-by-country basis, until the latest to occur of (i) 15 years following from the date of first commercial sale of a product in such country, (ii) the expiration of all regulatory or data exclusivity for such product in such country, or (iii) the date of the expiration of the last to expire valid claim of a licensed patent covering such product in such country. Currently, the date of the expiration of the last to expire valid claim of a licensed patent covering epetraborole in the licensed territory is June 2028. In addition, Anacor is entitled to certain milestone payments upon a change of control of our company.</w:t>
      </w:r>
    </w:p>
    <w:p>
      <w:pPr>
        <w:spacing w:after="0" w:line="210" w:lineRule="exact"/>
        <w:rPr>
          <w:sz w:val="20"/>
          <w:szCs w:val="20"/>
          <w:color w:val="auto"/>
        </w:rPr>
      </w:pPr>
    </w:p>
    <w:p>
      <w:pPr>
        <w:ind w:right="160" w:firstLine="490"/>
        <w:spacing w:after="0" w:line="254" w:lineRule="auto"/>
        <w:rPr>
          <w:sz w:val="20"/>
          <w:szCs w:val="20"/>
          <w:color w:val="auto"/>
        </w:rPr>
      </w:pPr>
      <w:r>
        <w:rPr>
          <w:rFonts w:ascii="Arial" w:cs="Arial" w:eastAsia="Arial" w:hAnsi="Arial"/>
          <w:sz w:val="20"/>
          <w:szCs w:val="20"/>
          <w:color w:val="231F20"/>
        </w:rPr>
        <w:t>On December 3, 2021, we entered into an amendment to the Anacor Agreement, pursuant to which we obtained a worldwide non-exclusive, sublicensable license under certain patent rights of Anacor for the treatment, diagnosis, or prevention of bacterial diseases caused by certain bacterial species, to support the continued manufacture of epetraborole by us.</w:t>
      </w:r>
    </w:p>
    <w:p>
      <w:pPr>
        <w:spacing w:after="0" w:line="186" w:lineRule="exact"/>
        <w:rPr>
          <w:sz w:val="20"/>
          <w:szCs w:val="20"/>
          <w:color w:val="auto"/>
        </w:rPr>
      </w:pPr>
    </w:p>
    <w:p>
      <w:pPr>
        <w:ind w:right="140" w:firstLine="545"/>
        <w:spacing w:after="0" w:line="261" w:lineRule="auto"/>
        <w:rPr>
          <w:sz w:val="20"/>
          <w:szCs w:val="20"/>
          <w:color w:val="auto"/>
        </w:rPr>
      </w:pPr>
      <w:r>
        <w:rPr>
          <w:rFonts w:ascii="Arial" w:cs="Arial" w:eastAsia="Arial" w:hAnsi="Arial"/>
          <w:sz w:val="20"/>
          <w:szCs w:val="20"/>
          <w:color w:val="231F20"/>
        </w:rPr>
        <w:t>The Anacor Agreement will expire upon expiration of the last to expire royalty term. Either party may terminate the Anacor Agreement for the other party’s material breach following a cure period or immediately upon certain insolvency events relating to the other party.</w:t>
      </w:r>
    </w:p>
    <w:p>
      <w:pPr>
        <w:sectPr>
          <w:pgSz w:w="11880" w:h="15480" w:orient="portrait"/>
          <w:cols w:equalWidth="0" w:num="1">
            <w:col w:w="10740"/>
          </w:cols>
          <w:pgMar w:left="540" w:top="746"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740"/>
          </w:cols>
          <w:pgMar w:left="540" w:top="746" w:right="600" w:bottom="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i w:val="1"/>
          <w:iCs w:val="1"/>
          <w:color w:val="231F20"/>
        </w:rPr>
        <w:t>License Agreement with Brii Biosciences Limited</w:t>
      </w:r>
    </w:p>
    <w:p>
      <w:pPr>
        <w:spacing w:after="0" w:line="116"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231F20"/>
        </w:rPr>
        <w:t>In November 2019, we entered into a license agreement (the “Brii Biosciences License Agreement”) pursuant to which we granted Brii Biosciences an exclusive, perpetual, sublicensable license to research, develop, manufacture, and commercialize certain compounds and products, including epetraborole, in China, Hong Kong, Taiwan, and Macau for the diagnosis, treatment, and prevention of human diseases. Under the terms of the agreement, we licensed the intellectual property rights we licensed under the Anacor Agreement, as they apply in these jurisdictions, to Brii Bioscience. Further, neither we nor Brii Biosciences can develop a competing product that is directed to the same target as a licensed compound during the term of the Brii Biosciences License Agreement.</w:t>
      </w:r>
    </w:p>
    <w:p>
      <w:pPr>
        <w:spacing w:after="0" w:line="193"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231F20"/>
        </w:rPr>
        <w:t>The collaboration is overseen by a joint steering committee. In the event of a dispute relating to the determination of proof of concept criteria, or licensed products in China, Hong Kong, Taiwan, and Macau for which Brii Biosciences has delivered a proof of concept acceptance notice, Brii Biosciences has the final decision-making authority, subject to certain veto rights of ours. Upon commencing development, Brii Biosciences is obligated to use commercially reasonable efforts to develop, seek regulatory approval for, and commercialize at least one licensed product in China, Hong Kong, Taiwan, and Macau.</w:t>
      </w:r>
    </w:p>
    <w:p>
      <w:pPr>
        <w:spacing w:after="0" w:line="194"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231F20"/>
        </w:rPr>
        <w:t>We did not receive an upfront payment, but we are eligible to receive up to $15.0 million in the aggregate for development and regulatory milestones for each licensed product and up to $150.0 million in the aggregate in commercial milestones upon achieving sales thresholds for each licensed product. We are also entitled to tiered mid-single digit percentage to high-first decile percentage sales-based royalties, subject to certain reductions, including lack of patent coverage and generic product entry. The sales royalties are required to be paid on a product-by-product and region-by-region basis, until the latest to occur of (i) 15 years following the date of first commercial sale of a product, (ii) the expiration of all regulatory or data exclusivity, or (iii) the date of the expiration of the last to expire valid claim of a licensed patent covering the composition of matter or approved use of such product in such region. The last to expire valid claim of a licensed patent covering the composition of matter or approved use of such product in the licensed territory is June 2028.</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Global Health Agreement with Adjuvant Global Health Technology Fund</w:t>
      </w:r>
    </w:p>
    <w:p>
      <w:pPr>
        <w:spacing w:after="0" w:line="116" w:lineRule="exact"/>
        <w:rPr>
          <w:sz w:val="20"/>
          <w:szCs w:val="20"/>
          <w:color w:val="auto"/>
        </w:rPr>
      </w:pPr>
    </w:p>
    <w:p>
      <w:pPr>
        <w:ind w:right="80" w:firstLine="490"/>
        <w:spacing w:after="0" w:line="264" w:lineRule="auto"/>
        <w:rPr>
          <w:sz w:val="20"/>
          <w:szCs w:val="20"/>
          <w:color w:val="auto"/>
        </w:rPr>
      </w:pPr>
      <w:r>
        <w:rPr>
          <w:rFonts w:ascii="Arial" w:cs="Arial" w:eastAsia="Arial" w:hAnsi="Arial"/>
          <w:sz w:val="19"/>
          <w:szCs w:val="19"/>
          <w:color w:val="231F20"/>
        </w:rPr>
        <w:t>We entered into the Global Health Agreement with Adjuvant Global Health Technology Fund (“Adjuvant”) in connection with Adjuvant’s investment in November 2019 and March 2021 of an aggregate amount of $12.0 million in our Series A and Series B redeemable convertible preferred stock financings. In connection with such investment, we issued Adjuvant an aggregate of 2,430,714 shares of our redeemable convertible preferred stock in November 2019 and March 2021. Pursuant to the Global Health Agreement, we agreed to support the creation of innovative and affordable drugs to treat disease, through public health programs and private purchasers in low and low-middle income target countries.</w:t>
      </w:r>
    </w:p>
    <w:p>
      <w:pPr>
        <w:spacing w:after="0" w:line="178"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231F20"/>
        </w:rPr>
        <w:t>Adjuvant’s investment supports the development of epetraborole for use in target countries that are melioidosis-endemic, melioidosis at-risk, tuberculosis-endemic, and tuberculosis-at-risk. Under the Global Health Agreement, we are required to comply with certain program-related investment global access commitments. We must use reasonably diligent endeavors to develop epetraborole for melioidosis, tuberculosis, and any other mutually agreed-upon products using non-dilutive funding and we must make them accessible to people in need in target countries on commercially reasonable terms and at a reasonable volume. Upon the occurrence of certain events, including the failure by ourselves to comply with the Global Health Agreement, we must grant Adjuvant a nonexclusive, perpetual, irrevocable, non-terminable, fully-paid up, royalty free license to epetraborole for melioidosis, tuberculosis, and any other mutually agreed-upon products.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Exclusive Patent License Agreement with the University of Georgia Research Foundation, Inc.</w:t>
      </w:r>
    </w:p>
    <w:p>
      <w:pPr>
        <w:spacing w:after="0" w:line="116"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In October 2023, we entered into an agreement with the University of Georgia Research Foundation, Inc. (“UGARF”) pursuant to which UGARF exclusively licensed to us certain patents and applications that were previously licensed to UGARF by Anacor Pharmaceuticals for us to manufacture and commercialize products for the therapeutic, diagnostic and prophylactic treatment of Chagas disease in humans or animals worldwide. Under the license agreement, we must use commercially reasonable efforts to bring a product in the therapeutic, diagnostic and prophylactic treatment of Chagas disease in humans or animals to market in each territory where there is at least one valid patent claim. We must also use commercially reasonable efforts to attain certain development and sales milestones.</w:t>
      </w:r>
    </w:p>
    <w:p>
      <w:pPr>
        <w:sectPr>
          <w:pgSz w:w="11880" w:h="15480" w:orient="portrait"/>
          <w:cols w:equalWidth="0" w:num="1">
            <w:col w:w="10780"/>
          </w:cols>
          <w:pgMar w:left="540" w:top="75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780"/>
          </w:cols>
          <w:pgMar w:left="540" w:top="754" w:right="560" w:bottom="0" w:gutter="0" w:footer="0" w:header="0"/>
          <w:type w:val="continuous"/>
        </w:sectPr>
      </w:pPr>
    </w:p>
    <w:bookmarkStart w:id="9" w:name="page10"/>
    <w:bookmarkEnd w:id="9"/>
    <w:p>
      <w:pPr>
        <w:ind w:right="20" w:firstLine="490"/>
        <w:spacing w:after="0" w:line="244" w:lineRule="auto"/>
        <w:rPr>
          <w:sz w:val="20"/>
          <w:szCs w:val="20"/>
          <w:color w:val="auto"/>
        </w:rPr>
      </w:pPr>
      <w:r>
        <w:rPr>
          <w:rFonts w:ascii="Arial" w:cs="Arial" w:eastAsia="Arial" w:hAnsi="Arial"/>
          <w:sz w:val="20"/>
          <w:szCs w:val="20"/>
          <w:color w:val="231F20"/>
        </w:rPr>
        <w:t>As consideration for the license from UGARF, we paid UGARF an initial license fee in the low five figures. We must also pay a yearly maintenance fee in the low four figures until the initiation of the first clinical trial of the first product covered by the licensed patent claims. Upon achievement of certain development and sales milestones, we are required to make payments of up to approximately $900 million. Should we commercialize any products covered by the licensed patent claims, we will be obligated to pay UGARF annual royalties in the low single digits. Should we sublicense the rights granted under this agreement, we will be obligated to pay UGARF a percentage of the amount received for the sublicense ranging from the mid-single digits to low double digits, depending on the development stage of the first product to enter clinical trials. Should we or a sublicensee transfer or sell to one or more third parties any priority review voucher (or a foreign equivalent) for a product covered by the licensed patent claims, we will be obligated to pay UGARF a percentage of the amount received from such third party ranging from the mid-teens to low double digits, depending on the amount of funding that the third party contributed to develop the product.</w:t>
      </w:r>
    </w:p>
    <w:p>
      <w:pPr>
        <w:spacing w:after="0" w:line="198" w:lineRule="exact"/>
        <w:rPr>
          <w:sz w:val="20"/>
          <w:szCs w:val="20"/>
          <w:color w:val="auto"/>
        </w:rPr>
      </w:pPr>
    </w:p>
    <w:p>
      <w:pPr>
        <w:ind w:right="60" w:firstLine="490"/>
        <w:spacing w:after="0" w:line="282" w:lineRule="auto"/>
        <w:rPr>
          <w:sz w:val="20"/>
          <w:szCs w:val="20"/>
          <w:color w:val="auto"/>
        </w:rPr>
      </w:pPr>
      <w:r>
        <w:rPr>
          <w:rFonts w:ascii="Arial" w:cs="Arial" w:eastAsia="Arial" w:hAnsi="Arial"/>
          <w:sz w:val="20"/>
          <w:szCs w:val="20"/>
          <w:color w:val="231F20"/>
        </w:rPr>
        <w:t>The license agreement will terminate on a licensed patent by licensed patent basis until there are no valid claims for a licensed patent. We can terminate the license agreement for convenience on 30 days prior written notice.</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Intellectual Property</w:t>
      </w:r>
    </w:p>
    <w:p>
      <w:pPr>
        <w:spacing w:after="0" w:line="124"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231F20"/>
        </w:rPr>
        <w:t>We strive to protect and enhance our proprietary technology, inventions, and improvements that we consider commercially important to the development of our business, including by seeking, maintaining, and defending U.S. and foreign patent rights. As of December 31, 2025, all of the issued patents in our entire patent portfolio are in-licensed and if our current licensors are not cooperative or disagree with us as to the prosecution, maintenance, or enforcement of any such licensed patent rights, such patent rights could be compromised. The patent positions of pharmaceutical companies are generally uncertain and can involve complex legal, scientific, and factual issues. We cannot predict whether any patent applications we pursue, or any patent applications that we have in-licensed, will issue as patents in any particular jurisdiction, or whether the claims of any issued patents will provide sufficient proprietary protection from competitors.</w:t>
      </w:r>
    </w:p>
    <w:p>
      <w:pPr>
        <w:spacing w:after="0" w:line="194" w:lineRule="exact"/>
        <w:rPr>
          <w:sz w:val="20"/>
          <w:szCs w:val="20"/>
          <w:color w:val="auto"/>
        </w:rPr>
      </w:pPr>
    </w:p>
    <w:p>
      <w:pPr>
        <w:ind w:right="20" w:firstLine="545"/>
        <w:spacing w:after="0" w:line="244" w:lineRule="auto"/>
        <w:rPr>
          <w:sz w:val="20"/>
          <w:szCs w:val="20"/>
          <w:color w:val="auto"/>
        </w:rPr>
      </w:pPr>
      <w:r>
        <w:rPr>
          <w:rFonts w:ascii="Arial" w:cs="Arial" w:eastAsia="Arial" w:hAnsi="Arial"/>
          <w:sz w:val="20"/>
          <w:szCs w:val="20"/>
          <w:color w:val="231F20"/>
        </w:rPr>
        <w:t>Our future commercial success depends, in part, on our ability to obtain and maintain patent and other proprietary protection for commercially important technology, inventions, and know-how related to our business, including our product candidates, to defend and enforce our intellectual property rights, in particular our patent rights, to preserve the confidentiality of our trade secrets, and to operate without infringing, misappropriating, or violating the valid and enforceable patents and other intellectual property rights of third parties. Our ability to preclude or restrict third parties from making, using, selling, offering to sell, or importing competing molecules to our products may depend on the extent to which we have rights under valid and enforceable patents and trade secrets that cover these activities. We seek to protect our proprietary technology and processes, in part, by confidentiality agreements with our employees, consultants, and contractors. We also seek to preserve the integrity and confidentiality of our data and trade secrets by maintaining physical security of our premises and physical and electronic security of our information technology systems.</w:t>
      </w:r>
    </w:p>
    <w:p>
      <w:pPr>
        <w:spacing w:after="0" w:line="202"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231F20"/>
        </w:rPr>
        <w:t>In addition, the coverage claimed in a patent application may be significantly reduced before a patent is granted, and its scope can be reinterpreted and even challenged after issuance. As a result, we cannot guarantee that any of our products will be protected or remain protectable by enforceable patents. Moreover, any patents that we license or may own in the future may be challenged, circumvented, or invalidated by third parties. In addition, because of the extensive time required for clinical development and regulatory review of a product candidate we may develop, it is possible that, before our product candidate can be commercialized successfully, any related patents may expire or remain in force for only a short period following commercial launch, thereby limiting the protection such patent would afford the applicable product and any competitive advantage such patent may provide. For more information regarding the risks related to our intellectual property, please see the section titled “Risk Factors—Risks Related to Our Intellectual Property.”</w:t>
      </w:r>
    </w:p>
    <w:p>
      <w:pPr>
        <w:spacing w:after="0" w:line="197" w:lineRule="exact"/>
        <w:rPr>
          <w:sz w:val="20"/>
          <w:szCs w:val="20"/>
          <w:color w:val="auto"/>
        </w:rPr>
      </w:pPr>
    </w:p>
    <w:p>
      <w:pPr>
        <w:ind w:right="140" w:firstLine="490"/>
        <w:spacing w:after="0" w:line="248" w:lineRule="auto"/>
        <w:rPr>
          <w:sz w:val="20"/>
          <w:szCs w:val="20"/>
          <w:color w:val="auto"/>
        </w:rPr>
      </w:pPr>
      <w:r>
        <w:rPr>
          <w:rFonts w:ascii="Arial" w:cs="Arial" w:eastAsia="Arial" w:hAnsi="Arial"/>
          <w:sz w:val="20"/>
          <w:szCs w:val="20"/>
          <w:color w:val="231F20"/>
        </w:rPr>
        <w:t>For any individual patent, the term depends on the applicable law in the country in which the patent is issued. In most countries where we have in-licensed patents and patent applications, including the U.S., patents have a term of 20 years from the application filing date or earliest claimed nonprovisional priority date. In the U.S., the patent term may be shortened if a patent is terminally disclaimed over another patent that expires earlier. The term of a U.S. patent may also be lengthened by a patent term adjustment that is permitted in order to address administrative delays by the U.S. Patent and Trademark Office (“USPTO”) in examining and granting a patent.</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780"/>
          </w:cols>
          <w:pgMar w:left="540" w:top="750" w:right="560" w:bottom="0" w:gutter="0" w:footer="0" w:header="0"/>
          <w:type w:val="continuous"/>
        </w:sectPr>
      </w:pPr>
    </w:p>
    <w:bookmarkStart w:id="10" w:name="page11"/>
    <w:bookmarkEnd w:id="10"/>
    <w:p>
      <w:pPr>
        <w:ind w:right="200" w:firstLine="490"/>
        <w:spacing w:after="0" w:line="244" w:lineRule="auto"/>
        <w:rPr>
          <w:sz w:val="20"/>
          <w:szCs w:val="20"/>
          <w:color w:val="auto"/>
        </w:rPr>
      </w:pPr>
      <w:r>
        <w:rPr>
          <w:rFonts w:ascii="Arial" w:cs="Arial" w:eastAsia="Arial" w:hAnsi="Arial"/>
          <w:sz w:val="20"/>
          <w:szCs w:val="20"/>
          <w:color w:val="231F20"/>
        </w:rPr>
        <w:t>In the U.S., the term of a patent that covers an FDA-approved drug or biologic may be eligible for patent term extension in order to restore the period of a patent term lost during the premarket FDA regulatory review process. Specifically, the Drug Price Competition and Patent Term Restoration Act of 1984 (the “Hatch-Waxman Act”) permits a patent term extension of up to five years beyond the natural expiration of the patent (but the total patent term, including the extension period, must not exceed 14 years following FDA approval). The patent term extension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Only one patent applicable to an approved product is eligible for patent term extension, and only those claims covering the approved product, a method for using it, or a method for manufacturing it may be extended. The application for patent term extension must be submitted prior to the expiration of the patent. The USPTO reviews and approves the application for any Patent Term Extension in consultation with the FDA.</w:t>
      </w:r>
    </w:p>
    <w:p>
      <w:pPr>
        <w:spacing w:after="0" w:line="198"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231F20"/>
        </w:rPr>
        <w:t>The patent portfolio for our epetraborole product candidate is based upon our in-licensed patent portfolio, which includes patents and patent applications directed generally to compositions of matter, pharmaceutical compositions, and methods of treatment. We have exclusively licensed three U.S. patents, along with patents and pending patents in various foreign jurisdictions. We have filed additional patent applications for epetraborole in MAB and PV. Patents and patent applications, if granted, are expected to expire between 2028 and 2046, without taking potential patent term extensions or patent term adjustments into account.</w:t>
      </w:r>
    </w:p>
    <w:p>
      <w:pPr>
        <w:spacing w:after="0" w:line="194"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231F20"/>
        </w:rPr>
        <w:t>Prosecution is a lengthy process, during which the scope of the claims initially submitted for examination by the USPTO and other patent offices may be significantly revised before issuance, if granted at all. The in-licensed patents and patent applications for epetraborole are detailed below.</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Trade Secrets</w:t>
      </w:r>
    </w:p>
    <w:p>
      <w:pPr>
        <w:spacing w:after="0" w:line="116"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231F20"/>
        </w:rPr>
        <w:t>We also rely on trade secrets, know-how, confidential information and continuing technological innovation to develop, strengthen and maintain our proprietary position in our field and protect aspects of our business that are not amenable to, or that we do not consider appropriate for, patent protection. However, trade secrets can be difficult to protect. While we take measures to protect and preserve our trade secrets, such measures can be breached, and we may not have adequate remedies for any such breach. We seek to protect our proprietary information, in part, using confidentiality agreements and invention assignment agreements with our collaborators, employees and consultants. These agreements are designed to protect our proprietary information and, in the case of the invention assignment agreements, to grant us ownership of technologies that are developed through a relationship with a third party. We cannot guarantee, however, that we have executed such agreements with all applicable counterparties. Furthermore, these agreements may be breached, and we may not have adequate remedies for any breach. In addition, our trade secrets may otherwise become known or be independently discovered by competitors and other third parties, or misused by any collaborator to whom we disclose such information. To the extent that our collaborators, employees and consultants use intellectual property owned by others in their work for us, disputes may arise as to the rights in related or resulting know-how and inventions. For more information regarding the risks related to our intellectual property, please see the section titled “Risk Factors—Risks Related to Our Intellectual Property.”</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Competition</w:t>
      </w:r>
    </w:p>
    <w:p>
      <w:pPr>
        <w:spacing w:after="0" w:line="124"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231F20"/>
        </w:rPr>
        <w:t>The biopharmaceutical industry is characterized by intense competition and rapid innovation. Our potential competitors include large pharmaceutical and biotechnology companies, specialty pharmaceutical companies and generic drug companies. Many of our potential competitors have greater financial and technical human resources than we do, as well as greater experience in the discovery and development of product candidates, obtaining FDA and other regulatory approvals of products, and the commercialization of those products. Accordingly, our potential competitors may be more successful than us in obtaining FDA-approved drugs and achieving widespread market acceptance. We anticipate that we will face intense and increasing competition as new drugs enter the market and advanced technologies become available. Finally, the development of new treatment methods for the diseases we are targeting could render our product candidates non-competitive or obsolete.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800"/>
          </w:cols>
          <w:pgMar w:left="540" w:top="750" w:right="540" w:bottom="0" w:gutter="0" w:footer="0" w:header="0"/>
          <w:type w:val="continuous"/>
        </w:sectPr>
      </w:pPr>
    </w:p>
    <w:bookmarkStart w:id="11" w:name="page12"/>
    <w:bookmarkEnd w:id="11"/>
    <w:p>
      <w:pPr>
        <w:ind w:firstLine="518"/>
        <w:spacing w:after="0" w:line="246" w:lineRule="auto"/>
        <w:rPr>
          <w:sz w:val="20"/>
          <w:szCs w:val="20"/>
          <w:color w:val="auto"/>
        </w:rPr>
      </w:pPr>
      <w:r>
        <w:rPr>
          <w:rFonts w:ascii="Arial" w:cs="Arial" w:eastAsia="Arial" w:hAnsi="Arial"/>
          <w:sz w:val="20"/>
          <w:szCs w:val="20"/>
          <w:color w:val="231F20"/>
        </w:rPr>
        <w:t>PV is typically managed with phlebotomy and low-dose aspirin, with cytoreductive therapy such as hydroxyurea commonly used in patients requiring additional disease control. Two drugs are approved by the U.S. Food and Drug Administration for the treatment of PV: ruxolitinib, a JAK1/2 inhibitor approved for patients who are intolerant of or have an inadequate response to hydroxyurea, and ropeginterferon alfa-2b (Besremi®), an interferon therapy. Despite these treatment options, many patients require ongoing phlebotomy to maintain hematocrit control, and existing therapies may be associated with limitations related to efficacy, tolerability, and route of administration. If approved, epetraborole would be positioned as the first oral, red-cell targeting therapy for hematocrit control. We believe that its potential targeted effects, tolerability profile, and oral dose administration could offer significant competitive advantages, if approved.</w:t>
      </w:r>
    </w:p>
    <w:p>
      <w:pPr>
        <w:spacing w:after="0" w:line="194" w:lineRule="exact"/>
        <w:rPr>
          <w:sz w:val="20"/>
          <w:szCs w:val="20"/>
          <w:color w:val="auto"/>
        </w:rPr>
      </w:pPr>
    </w:p>
    <w:p>
      <w:pPr>
        <w:ind w:right="420" w:firstLine="490"/>
        <w:spacing w:after="0" w:line="250" w:lineRule="auto"/>
        <w:rPr>
          <w:sz w:val="20"/>
          <w:szCs w:val="20"/>
          <w:color w:val="auto"/>
        </w:rPr>
      </w:pPr>
      <w:r>
        <w:rPr>
          <w:rFonts w:ascii="Arial" w:cs="Arial" w:eastAsia="Arial" w:hAnsi="Arial"/>
          <w:sz w:val="20"/>
          <w:szCs w:val="20"/>
          <w:color w:val="231F20"/>
        </w:rPr>
        <w:t xml:space="preserve">There are currently no FDA-approved therapies specifically indicated for the treatment of </w:t>
      </w:r>
      <w:r>
        <w:rPr>
          <w:rFonts w:ascii="Arial" w:cs="Arial" w:eastAsia="Arial" w:hAnsi="Arial"/>
          <w:sz w:val="20"/>
          <w:szCs w:val="20"/>
          <w:i w:val="1"/>
          <w:iCs w:val="1"/>
          <w:color w:val="231F20"/>
        </w:rPr>
        <w:t>M. abscessus</w:t>
      </w:r>
      <w:r>
        <w:rPr>
          <w:rFonts w:ascii="Arial" w:cs="Arial" w:eastAsia="Arial" w:hAnsi="Arial"/>
          <w:sz w:val="20"/>
          <w:szCs w:val="20"/>
          <w:color w:val="231F20"/>
        </w:rPr>
        <w:t xml:space="preserve"> lung disease. Current treatment regimens rely on off-label use of IV antibiotics selected based on susceptibility testing and clinical judgment, frequently including intravenous agents associated with significant treatment burden and toxicity. Epetraborole, if successfully developed and approved, would be positioned as the first FDA-approved drug for </w:t>
      </w:r>
      <w:r>
        <w:rPr>
          <w:rFonts w:ascii="Arial" w:cs="Arial" w:eastAsia="Arial" w:hAnsi="Arial"/>
          <w:sz w:val="20"/>
          <w:szCs w:val="20"/>
          <w:i w:val="1"/>
          <w:iCs w:val="1"/>
          <w:color w:val="231F20"/>
        </w:rPr>
        <w:t>M.</w:t>
      </w:r>
      <w:r>
        <w:rPr>
          <w:rFonts w:ascii="Arial" w:cs="Arial" w:eastAsia="Arial" w:hAnsi="Arial"/>
          <w:sz w:val="20"/>
          <w:szCs w:val="20"/>
          <w:color w:val="231F20"/>
        </w:rPr>
        <w:t xml:space="preserve"> </w:t>
      </w:r>
      <w:r>
        <w:rPr>
          <w:rFonts w:ascii="Arial" w:cs="Arial" w:eastAsia="Arial" w:hAnsi="Arial"/>
          <w:sz w:val="20"/>
          <w:szCs w:val="20"/>
          <w:i w:val="1"/>
          <w:iCs w:val="1"/>
          <w:color w:val="231F20"/>
        </w:rPr>
        <w:t>abscessus.</w:t>
      </w:r>
    </w:p>
    <w:p>
      <w:pPr>
        <w:spacing w:after="0" w:line="192"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231F20"/>
        </w:rPr>
        <w:t>There are currently no FDA-approved therapies specifically indicated for the treatment of Chagas disease in adults. Available off-label therapies are typically administered for extended durations and may be associated with adverse effects that limit patient adherence or suitability, particularly in chronic infection. In addition, treatment efficacy in established chronic disease remains variable, and access to therapy may be constrained in certain settings. Within this landscape, we believe AN-502998 has the potential to address persistent unmet needs relating to safety, efficacy, tolerability and treatment burden, and if successfully developed and approved, could be positioned as a differentiated therapeutic option for Chagas disease.</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Government Regulation and Product Approval</w:t>
      </w:r>
    </w:p>
    <w:p>
      <w:pPr>
        <w:spacing w:after="0" w:line="124"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231F20"/>
        </w:rPr>
        <w:t>Government authorities in the U.S.,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NDA process before it may be legally marketed in the U.S. We, along with any third-party contractors, will be required to navigate the various preclinical, clinical and commercial approval requirements of the governing regulatory agencies of the countries in which we wish to conduct studies or seek approval of our product candidates. The process of obtaining regulatory approvals and the subsequent compliance with applicable federal, state, local, and foreign statutes and regulations require the expenditure of substantial time and financial resources.</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U.S. Drug Development Process</w:t>
      </w:r>
    </w:p>
    <w:p>
      <w:pPr>
        <w:spacing w:after="0" w:line="116"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231F20"/>
        </w:rPr>
        <w:t>In the U.S., the FDA regulates drugs under the federal Food, Drug, and Cosmetic Act (“FDCA”) and its implementing regulations. The process of obtaining regulatory approvals and the subsequent compliance with appropriate federal, state and local statutes and regulations require the expenditure of substantial time and financial resources. The process required by the FDA before a drug may be marketed in the U.S. generally involves the following:</w:t>
      </w:r>
    </w:p>
    <w:p>
      <w:pPr>
        <w:spacing w:after="0" w:line="80" w:lineRule="exact"/>
        <w:rPr>
          <w:sz w:val="20"/>
          <w:szCs w:val="20"/>
          <w:color w:val="auto"/>
        </w:rPr>
      </w:pPr>
    </w:p>
    <w:p>
      <w:pPr>
        <w:ind w:left="980" w:right="360" w:hanging="490"/>
        <w:spacing w:after="0" w:line="282" w:lineRule="auto"/>
        <w:tabs>
          <w:tab w:leader="none" w:pos="980" w:val="left"/>
        </w:tabs>
        <w:numPr>
          <w:ilvl w:val="0"/>
          <w:numId w:val="6"/>
        </w:numPr>
        <w:rPr>
          <w:rFonts w:ascii="Arial" w:cs="Arial" w:eastAsia="Arial" w:hAnsi="Arial"/>
          <w:sz w:val="20"/>
          <w:szCs w:val="20"/>
          <w:color w:val="231F20"/>
        </w:rPr>
      </w:pPr>
      <w:r>
        <w:rPr>
          <w:rFonts w:ascii="Arial" w:cs="Arial" w:eastAsia="Arial" w:hAnsi="Arial"/>
          <w:sz w:val="20"/>
          <w:szCs w:val="20"/>
          <w:color w:val="231F20"/>
        </w:rPr>
        <w:t>completion of certain preclinical laboratory tests, animal studies and formulation studies in accordance with Good Laboratory Practice regulations and other applicable regulations;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Arial" w:cs="Arial" w:eastAsia="Arial" w:hAnsi="Arial"/>
          <w:sz w:val="20"/>
          <w:szCs w:val="20"/>
          <w:color w:val="231F20"/>
        </w:rPr>
        <w:t>submission to the FDA of an IND, which must become effective before human clinical trials may begin;</w:t>
      </w:r>
    </w:p>
    <w:p>
      <w:pPr>
        <w:spacing w:after="0" w:line="133" w:lineRule="exact"/>
        <w:rPr>
          <w:rFonts w:ascii="Arial" w:cs="Arial" w:eastAsia="Arial" w:hAnsi="Arial"/>
          <w:sz w:val="20"/>
          <w:szCs w:val="20"/>
          <w:color w:val="231F20"/>
        </w:rPr>
      </w:pPr>
    </w:p>
    <w:p>
      <w:pPr>
        <w:ind w:left="980" w:right="220" w:hanging="490"/>
        <w:spacing w:after="0" w:line="282" w:lineRule="auto"/>
        <w:tabs>
          <w:tab w:leader="none" w:pos="980" w:val="left"/>
        </w:tabs>
        <w:numPr>
          <w:ilvl w:val="0"/>
          <w:numId w:val="6"/>
        </w:numPr>
        <w:rPr>
          <w:rFonts w:ascii="Arial" w:cs="Arial" w:eastAsia="Arial" w:hAnsi="Arial"/>
          <w:sz w:val="20"/>
          <w:szCs w:val="20"/>
          <w:color w:val="231F20"/>
        </w:rPr>
      </w:pPr>
      <w:r>
        <w:rPr>
          <w:rFonts w:ascii="Arial" w:cs="Arial" w:eastAsia="Arial" w:hAnsi="Arial"/>
          <w:sz w:val="20"/>
          <w:szCs w:val="20"/>
          <w:color w:val="231F20"/>
        </w:rPr>
        <w:t>approval by an independent institutional review board (“IRB”), or ethics committee at each clinical site before each trial may be initiated;</w:t>
      </w:r>
    </w:p>
    <w:p>
      <w:pPr>
        <w:spacing w:after="0" w:line="53" w:lineRule="exact"/>
        <w:rPr>
          <w:rFonts w:ascii="Arial" w:cs="Arial" w:eastAsia="Arial" w:hAnsi="Arial"/>
          <w:sz w:val="20"/>
          <w:szCs w:val="20"/>
          <w:color w:val="231F20"/>
        </w:rPr>
      </w:pPr>
    </w:p>
    <w:p>
      <w:pPr>
        <w:ind w:left="980" w:right="320" w:hanging="490"/>
        <w:spacing w:after="0" w:line="310" w:lineRule="auto"/>
        <w:tabs>
          <w:tab w:leader="none" w:pos="980" w:val="left"/>
        </w:tabs>
        <w:numPr>
          <w:ilvl w:val="0"/>
          <w:numId w:val="6"/>
        </w:numPr>
        <w:rPr>
          <w:rFonts w:ascii="Arial" w:cs="Arial" w:eastAsia="Arial" w:hAnsi="Arial"/>
          <w:sz w:val="19"/>
          <w:szCs w:val="19"/>
          <w:color w:val="231F20"/>
        </w:rPr>
      </w:pPr>
      <w:r>
        <w:rPr>
          <w:rFonts w:ascii="Arial" w:cs="Arial" w:eastAsia="Arial" w:hAnsi="Arial"/>
          <w:sz w:val="19"/>
          <w:szCs w:val="19"/>
          <w:color w:val="231F20"/>
        </w:rPr>
        <w:t>performance of adequate and well-controlled human clinical trials in accordance with Good Clinical Practice regulations (“GCPs”) to evaluate the safety and efficacy of the product candidate for its intended use;</w:t>
      </w:r>
    </w:p>
    <w:p>
      <w:pPr>
        <w:spacing w:after="0" w:line="29" w:lineRule="exact"/>
        <w:rPr>
          <w:rFonts w:ascii="Arial" w:cs="Arial" w:eastAsia="Arial" w:hAnsi="Arial"/>
          <w:sz w:val="19"/>
          <w:szCs w:val="19"/>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Arial" w:cs="Arial" w:eastAsia="Arial" w:hAnsi="Arial"/>
          <w:sz w:val="20"/>
          <w:szCs w:val="20"/>
          <w:color w:val="231F20"/>
        </w:rPr>
        <w:t>submission to the FDA of an NDA after completion of all pivotal trials;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Arial" w:cs="Arial" w:eastAsia="Arial" w:hAnsi="Arial"/>
          <w:sz w:val="20"/>
          <w:szCs w:val="20"/>
          <w:color w:val="231F20"/>
        </w:rPr>
        <w:t>satisfactory completion of an FDA advisory committee review, if applicable;</w:t>
      </w:r>
    </w:p>
    <w:p>
      <w:pPr>
        <w:spacing w:after="0" w:line="133" w:lineRule="exact"/>
        <w:rPr>
          <w:rFonts w:ascii="Arial" w:cs="Arial" w:eastAsia="Arial" w:hAnsi="Arial"/>
          <w:sz w:val="20"/>
          <w:szCs w:val="20"/>
          <w:color w:val="231F20"/>
        </w:rPr>
      </w:pPr>
    </w:p>
    <w:p>
      <w:pPr>
        <w:ind w:left="980" w:right="180" w:hanging="490"/>
        <w:spacing w:after="0" w:line="254" w:lineRule="auto"/>
        <w:tabs>
          <w:tab w:leader="none" w:pos="980" w:val="left"/>
        </w:tabs>
        <w:numPr>
          <w:ilvl w:val="0"/>
          <w:numId w:val="6"/>
        </w:numPr>
        <w:rPr>
          <w:rFonts w:ascii="Arial" w:cs="Arial" w:eastAsia="Arial" w:hAnsi="Arial"/>
          <w:sz w:val="20"/>
          <w:szCs w:val="20"/>
          <w:color w:val="231F20"/>
        </w:rPr>
      </w:pPr>
      <w:r>
        <w:rPr>
          <w:rFonts w:ascii="Arial" w:cs="Arial" w:eastAsia="Arial" w:hAnsi="Arial"/>
          <w:sz w:val="20"/>
          <w:szCs w:val="20"/>
          <w:color w:val="231F20"/>
        </w:rPr>
        <w:t>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780"/>
          </w:cols>
          <w:pgMar w:left="540" w:top="750" w:right="560" w:bottom="0" w:gutter="0" w:footer="0" w:header="0"/>
          <w:type w:val="continuous"/>
        </w:sectPr>
      </w:pPr>
    </w:p>
    <w:bookmarkStart w:id="12" w:name="page13"/>
    <w:bookmarkEnd w:id="12"/>
    <w:p>
      <w:pPr>
        <w:ind w:left="980" w:right="100" w:hanging="490"/>
        <w:spacing w:after="0" w:line="282" w:lineRule="auto"/>
        <w:tabs>
          <w:tab w:leader="none" w:pos="980" w:val="left"/>
        </w:tabs>
        <w:numPr>
          <w:ilvl w:val="0"/>
          <w:numId w:val="7"/>
        </w:numPr>
        <w:rPr>
          <w:rFonts w:ascii="Arial" w:cs="Arial" w:eastAsia="Arial" w:hAnsi="Arial"/>
          <w:sz w:val="20"/>
          <w:szCs w:val="20"/>
          <w:color w:val="231F20"/>
        </w:rPr>
      </w:pPr>
      <w:r>
        <w:rPr>
          <w:rFonts w:ascii="Arial" w:cs="Arial" w:eastAsia="Arial" w:hAnsi="Arial"/>
          <w:sz w:val="20"/>
          <w:szCs w:val="20"/>
          <w:color w:val="231F20"/>
        </w:rPr>
        <w:t>satisfactory completion of potential inspection of selected clinical investigation sites to assess compliance with GCPs; and</w:t>
      </w:r>
    </w:p>
    <w:p>
      <w:pPr>
        <w:spacing w:after="0" w:line="53" w:lineRule="exact"/>
        <w:rPr>
          <w:rFonts w:ascii="Arial" w:cs="Arial" w:eastAsia="Arial" w:hAnsi="Arial"/>
          <w:sz w:val="20"/>
          <w:szCs w:val="20"/>
          <w:color w:val="231F20"/>
        </w:rPr>
      </w:pPr>
    </w:p>
    <w:p>
      <w:pPr>
        <w:ind w:left="980" w:right="920" w:hanging="490"/>
        <w:spacing w:after="0" w:line="282" w:lineRule="auto"/>
        <w:tabs>
          <w:tab w:leader="none" w:pos="980" w:val="left"/>
        </w:tabs>
        <w:numPr>
          <w:ilvl w:val="0"/>
          <w:numId w:val="7"/>
        </w:numPr>
        <w:rPr>
          <w:rFonts w:ascii="Arial" w:cs="Arial" w:eastAsia="Arial" w:hAnsi="Arial"/>
          <w:sz w:val="20"/>
          <w:szCs w:val="20"/>
          <w:color w:val="231F20"/>
        </w:rPr>
      </w:pPr>
      <w:r>
        <w:rPr>
          <w:rFonts w:ascii="Arial" w:cs="Arial" w:eastAsia="Arial" w:hAnsi="Arial"/>
          <w:sz w:val="20"/>
          <w:szCs w:val="20"/>
          <w:color w:val="231F20"/>
        </w:rPr>
        <w:t>the FDA review and approval of the NDA to permit commercial marketing of the product for particular indications for use in the U.S.</w:t>
      </w:r>
    </w:p>
    <w:p>
      <w:pPr>
        <w:spacing w:after="0" w:line="160" w:lineRule="exact"/>
        <w:rPr>
          <w:sz w:val="20"/>
          <w:szCs w:val="20"/>
          <w:color w:val="auto"/>
        </w:rPr>
      </w:pPr>
    </w:p>
    <w:p>
      <w:pPr>
        <w:ind w:right="80" w:firstLine="490"/>
        <w:spacing w:after="0" w:line="243" w:lineRule="auto"/>
        <w:rPr>
          <w:sz w:val="20"/>
          <w:szCs w:val="20"/>
          <w:color w:val="auto"/>
        </w:rPr>
      </w:pPr>
      <w:r>
        <w:rPr>
          <w:rFonts w:ascii="Arial" w:cs="Arial" w:eastAsia="Arial" w:hAnsi="Arial"/>
          <w:sz w:val="20"/>
          <w:szCs w:val="20"/>
          <w:color w:val="231F20"/>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206"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231F20"/>
        </w:rPr>
        <w:t>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206"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231F20"/>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(“DSMB”)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Human clinical trials are typically conducted in three sequential phases that may overlap or be combined:</w:t>
      </w:r>
    </w:p>
    <w:p>
      <w:pPr>
        <w:spacing w:after="0" w:line="134" w:lineRule="exact"/>
        <w:rPr>
          <w:sz w:val="20"/>
          <w:szCs w:val="20"/>
          <w:color w:val="auto"/>
        </w:rPr>
      </w:pPr>
    </w:p>
    <w:p>
      <w:pPr>
        <w:ind w:left="980" w:hanging="490"/>
        <w:spacing w:after="0" w:line="261" w:lineRule="auto"/>
        <w:tabs>
          <w:tab w:leader="none" w:pos="980" w:val="left"/>
        </w:tabs>
        <w:numPr>
          <w:ilvl w:val="0"/>
          <w:numId w:val="8"/>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Phase 1: </w:t>
      </w:r>
      <w:r>
        <w:rPr>
          <w:rFonts w:ascii="Arial" w:cs="Arial" w:eastAsia="Arial" w:hAnsi="Arial"/>
          <w:sz w:val="20"/>
          <w:szCs w:val="20"/>
          <w:color w:val="231F20"/>
        </w:rPr>
        <w:t>The product candidate is initially introduced into healthy human subjects and tested for safety,</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dosage tolerance, absorption, metabolism, distribution and excretion and, if possible, to gain an early indication of its effectiveness.</w:t>
      </w:r>
    </w:p>
    <w:p>
      <w:pPr>
        <w:spacing w:after="0" w:line="73" w:lineRule="exact"/>
        <w:rPr>
          <w:rFonts w:ascii="Arial" w:cs="Arial" w:eastAsia="Arial" w:hAnsi="Arial"/>
          <w:sz w:val="20"/>
          <w:szCs w:val="20"/>
          <w:color w:val="231F20"/>
        </w:rPr>
      </w:pPr>
    </w:p>
    <w:p>
      <w:pPr>
        <w:ind w:left="980" w:right="220" w:hanging="490"/>
        <w:spacing w:after="0" w:line="281" w:lineRule="auto"/>
        <w:tabs>
          <w:tab w:leader="none" w:pos="980" w:val="left"/>
        </w:tabs>
        <w:numPr>
          <w:ilvl w:val="0"/>
          <w:numId w:val="8"/>
        </w:numPr>
        <w:rPr>
          <w:rFonts w:ascii="Arial" w:cs="Arial" w:eastAsia="Arial" w:hAnsi="Arial"/>
          <w:sz w:val="19"/>
          <w:szCs w:val="19"/>
          <w:color w:val="231F20"/>
        </w:rPr>
      </w:pPr>
      <w:r>
        <w:rPr>
          <w:rFonts w:ascii="Arial" w:cs="Arial" w:eastAsia="Arial" w:hAnsi="Arial"/>
          <w:sz w:val="19"/>
          <w:szCs w:val="19"/>
          <w:b w:val="1"/>
          <w:bCs w:val="1"/>
          <w:i w:val="1"/>
          <w:iCs w:val="1"/>
          <w:color w:val="231F20"/>
        </w:rPr>
        <w:t xml:space="preserve">Phase 2: </w:t>
      </w:r>
      <w:r>
        <w:rPr>
          <w:rFonts w:ascii="Arial" w:cs="Arial" w:eastAsia="Arial" w:hAnsi="Arial"/>
          <w:sz w:val="19"/>
          <w:szCs w:val="19"/>
          <w:color w:val="231F20"/>
        </w:rPr>
        <w:t>The product candidate is administered to a limited patient population with a specified disease or</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condition to identify possible adverse effects and safety risks, to preliminarily evaluate the efficacy of the product candidate for specific targeted diseases and to determine dosage tolerance and appropriate dosage.</w:t>
      </w:r>
    </w:p>
    <w:p>
      <w:pPr>
        <w:spacing w:after="0" w:line="56" w:lineRule="exact"/>
        <w:rPr>
          <w:rFonts w:ascii="Arial" w:cs="Arial" w:eastAsia="Arial" w:hAnsi="Arial"/>
          <w:sz w:val="19"/>
          <w:szCs w:val="19"/>
          <w:color w:val="231F20"/>
        </w:rPr>
      </w:pPr>
    </w:p>
    <w:p>
      <w:pPr>
        <w:ind w:left="980" w:right="60" w:hanging="490"/>
        <w:spacing w:after="0" w:line="254" w:lineRule="auto"/>
        <w:tabs>
          <w:tab w:leader="none" w:pos="980" w:val="left"/>
        </w:tabs>
        <w:numPr>
          <w:ilvl w:val="0"/>
          <w:numId w:val="8"/>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Phase 3: </w:t>
      </w:r>
      <w:r>
        <w:rPr>
          <w:rFonts w:ascii="Arial" w:cs="Arial" w:eastAsia="Arial" w:hAnsi="Arial"/>
          <w:sz w:val="20"/>
          <w:szCs w:val="20"/>
          <w:color w:val="231F20"/>
        </w:rPr>
        <w:t>The product candidate is administered to an expanded patient population to further evaluate dosage,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800"/>
          </w:cols>
          <w:pgMar w:left="540" w:top="764" w:right="540" w:bottom="0" w:gutter="0" w:footer="0" w:header="0"/>
          <w:type w:val="continuous"/>
        </w:sectPr>
      </w:pPr>
    </w:p>
    <w:bookmarkStart w:id="13" w:name="page14"/>
    <w:bookmarkEnd w:id="13"/>
    <w:p>
      <w:pPr>
        <w:ind w:right="80" w:firstLine="490"/>
        <w:spacing w:after="0" w:line="281" w:lineRule="auto"/>
        <w:rPr>
          <w:sz w:val="20"/>
          <w:szCs w:val="20"/>
          <w:color w:val="auto"/>
        </w:rPr>
      </w:pPr>
      <w:r>
        <w:rPr>
          <w:rFonts w:ascii="Arial" w:cs="Arial" w:eastAsia="Arial" w:hAnsi="Arial"/>
          <w:sz w:val="19"/>
          <w:szCs w:val="19"/>
          <w:color w:val="231F20"/>
        </w:rPr>
        <w:t>Post-approval trials, sometimes referred to as Phase 4 studies, may be conducted after initial regulatory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63" w:lineRule="exact"/>
        <w:rPr>
          <w:sz w:val="20"/>
          <w:szCs w:val="20"/>
          <w:color w:val="auto"/>
        </w:rPr>
      </w:pPr>
    </w:p>
    <w:p>
      <w:pPr>
        <w:ind w:right="420" w:firstLine="490"/>
        <w:spacing w:after="0" w:line="247" w:lineRule="auto"/>
        <w:rPr>
          <w:sz w:val="20"/>
          <w:szCs w:val="20"/>
          <w:color w:val="auto"/>
        </w:rPr>
      </w:pPr>
      <w:r>
        <w:rPr>
          <w:rFonts w:ascii="Arial" w:cs="Arial" w:eastAsia="Arial" w:hAnsi="Arial"/>
          <w:sz w:val="20"/>
          <w:szCs w:val="20"/>
          <w:color w:val="231F20"/>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U.S. Review and Approval Process</w:t>
      </w:r>
    </w:p>
    <w:p>
      <w:pPr>
        <w:spacing w:after="0" w:line="116" w:lineRule="exact"/>
        <w:rPr>
          <w:sz w:val="20"/>
          <w:szCs w:val="20"/>
          <w:color w:val="auto"/>
        </w:rPr>
      </w:pPr>
    </w:p>
    <w:p>
      <w:pPr>
        <w:ind w:right="80" w:firstLine="490"/>
        <w:spacing w:after="0" w:line="250" w:lineRule="auto"/>
        <w:rPr>
          <w:sz w:val="20"/>
          <w:szCs w:val="20"/>
          <w:color w:val="auto"/>
        </w:rPr>
      </w:pPr>
      <w:r>
        <w:rPr>
          <w:rFonts w:ascii="Arial" w:cs="Arial" w:eastAsia="Arial" w:hAnsi="Arial"/>
          <w:sz w:val="20"/>
          <w:szCs w:val="20"/>
          <w:color w:val="231F20"/>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92"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231F20"/>
        </w:rPr>
        <w:t>In addition, the Pediatric Research Equity Act (“PREA”), requires a sponsor to conduct pediatric clinical trials for most drugs, for a new active ingredient, new indication, new dosage form, new dosing regimen or new route of administration. Under PREA, original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the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98"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Once an NDA has been submitted, the FDA conducts a preliminary review of the application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w:t>
      </w:r>
    </w:p>
    <w:p>
      <w:pPr>
        <w:spacing w:after="0" w:line="202"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231F20"/>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typically inspect the facility or facilities where the product is manufactured. Additionally, before approving an NDA, the FDA may inspect one or more clinical trial sites to assure compliance with GCPs.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800"/>
          </w:cols>
          <w:pgMar w:left="540" w:top="750" w:right="540" w:bottom="0" w:gutter="0" w:footer="0" w:header="0"/>
          <w:type w:val="continuous"/>
        </w:sectPr>
      </w:pPr>
    </w:p>
    <w:bookmarkStart w:id="14" w:name="page15"/>
    <w:bookmarkEnd w:id="14"/>
    <w:p>
      <w:pPr>
        <w:ind w:right="100" w:firstLine="490"/>
        <w:spacing w:after="0" w:line="245" w:lineRule="auto"/>
        <w:rPr>
          <w:sz w:val="20"/>
          <w:szCs w:val="20"/>
          <w:color w:val="auto"/>
        </w:rPr>
      </w:pPr>
      <w:r>
        <w:rPr>
          <w:rFonts w:ascii="Arial" w:cs="Arial" w:eastAsia="Arial" w:hAnsi="Arial"/>
          <w:sz w:val="20"/>
          <w:szCs w:val="20"/>
          <w:color w:val="231F20"/>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NDA identified by the FDA and may require additional clinical data, including additional clinical trials, or other significant and time-consuming requirements related to clinical trials, nonclinical studies or manufacturing. If a CRL is issued, the sponsor must resubmit the NDA or, addressing all of the deficiencies identified in the letter, or withdraw the application. Even if such data and information are submitted, the FDA may decide that the NDA does not satisfy the criteria for approval.</w:t>
      </w:r>
    </w:p>
    <w:p>
      <w:pPr>
        <w:spacing w:after="0" w:line="197"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refers to clinical trials designed to further assess a drug’s safety and/or effectiveness following NDA approval, and may require additional testing and surveillance programs to monitor the safety of approved products which have been commercialized. The FDA may also place other conditions on approval, including the requirement for a risk evaluation and mitigation strategy (“REMS”), to assure the safe use of the drug. If the FDA concludes a REMS is needed, the sponsor of the NDA must submit a proposed REMS, which could include medication guides, physician communication plans or elements to assure safe use, such as restricted distribution methods, patient registries and other risk minimization tools. The FDA will not approve the NDA without an approved REMS, if required. Any of these limitations on approval or marketing could restrict the commercial promotion, distribution, prescription or dispensing of products.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Expedited Development and Review Programs</w:t>
      </w:r>
    </w:p>
    <w:p>
      <w:pPr>
        <w:spacing w:after="0" w:line="116"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231F20"/>
        </w:rPr>
        <w:t>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8" w:lineRule="exact"/>
        <w:rPr>
          <w:sz w:val="20"/>
          <w:szCs w:val="20"/>
          <w:color w:val="auto"/>
        </w:rPr>
      </w:pPr>
    </w:p>
    <w:p>
      <w:pPr>
        <w:ind w:right="100" w:firstLine="490"/>
        <w:spacing w:after="0" w:line="246" w:lineRule="auto"/>
        <w:rPr>
          <w:sz w:val="20"/>
          <w:szCs w:val="20"/>
          <w:color w:val="auto"/>
        </w:rPr>
      </w:pPr>
      <w:r>
        <w:rPr>
          <w:rFonts w:ascii="Arial" w:cs="Arial" w:eastAsia="Arial" w:hAnsi="Arial"/>
          <w:sz w:val="20"/>
          <w:szCs w:val="20"/>
          <w:color w:val="231F20"/>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94" w:lineRule="exact"/>
        <w:rPr>
          <w:sz w:val="20"/>
          <w:szCs w:val="20"/>
          <w:color w:val="auto"/>
        </w:rPr>
      </w:pPr>
    </w:p>
    <w:p>
      <w:pPr>
        <w:ind w:right="40" w:firstLine="490"/>
        <w:spacing w:after="0" w:line="262" w:lineRule="auto"/>
        <w:rPr>
          <w:sz w:val="20"/>
          <w:szCs w:val="20"/>
          <w:color w:val="auto"/>
        </w:rPr>
      </w:pPr>
      <w:r>
        <w:rPr>
          <w:rFonts w:ascii="Arial" w:cs="Arial" w:eastAsia="Arial" w:hAnsi="Arial"/>
          <w:sz w:val="19"/>
          <w:szCs w:val="19"/>
          <w:color w:val="231F20"/>
        </w:rPr>
        <w:t>Any product candidate submitted to the FDA for approval, including a product candidate with a fast track designation or breakthrough designation, may also be eligible for other types of FDA programs intended to expedite development and review, such as priority review.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800"/>
          </w:cols>
          <w:pgMar w:left="540" w:top="750" w:right="540" w:bottom="0" w:gutter="0" w:footer="0" w:header="0"/>
          <w:type w:val="continuous"/>
        </w:sectPr>
      </w:pPr>
    </w:p>
    <w:bookmarkStart w:id="15" w:name="page16"/>
    <w:bookmarkEnd w:id="15"/>
    <w:p>
      <w:pPr>
        <w:ind w:firstLine="490"/>
        <w:spacing w:after="0" w:line="243" w:lineRule="auto"/>
        <w:rPr>
          <w:sz w:val="20"/>
          <w:szCs w:val="20"/>
          <w:color w:val="auto"/>
        </w:rPr>
      </w:pPr>
      <w:r>
        <w:rPr>
          <w:rFonts w:ascii="Arial" w:cs="Arial" w:eastAsia="Arial" w:hAnsi="Arial"/>
          <w:sz w:val="20"/>
          <w:szCs w:val="20"/>
          <w:color w:val="231F20"/>
        </w:rPr>
        <w:t>In addition, depending on the design of the applicable clinical trials,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206" w:lineRule="exact"/>
        <w:rPr>
          <w:sz w:val="20"/>
          <w:szCs w:val="20"/>
          <w:color w:val="auto"/>
        </w:rPr>
      </w:pPr>
    </w:p>
    <w:p>
      <w:pPr>
        <w:ind w:right="160" w:firstLine="490"/>
        <w:spacing w:after="0" w:line="254" w:lineRule="auto"/>
        <w:rPr>
          <w:sz w:val="20"/>
          <w:szCs w:val="20"/>
          <w:color w:val="auto"/>
        </w:rPr>
      </w:pPr>
      <w:r>
        <w:rPr>
          <w:rFonts w:ascii="Arial" w:cs="Arial" w:eastAsia="Arial" w:hAnsi="Arial"/>
          <w:sz w:val="20"/>
          <w:szCs w:val="20"/>
          <w:color w:val="231F20"/>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the FDA review or approval will not be shortened.</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Orphan Drug Designation</w:t>
      </w:r>
    </w:p>
    <w:p>
      <w:pPr>
        <w:spacing w:after="0" w:line="116"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231F20"/>
        </w:rPr>
        <w:t>Under the Orphan Drug Act, the FDA may grant orphan designation to a drug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93" w:lineRule="exact"/>
        <w:rPr>
          <w:sz w:val="20"/>
          <w:szCs w:val="20"/>
          <w:color w:val="auto"/>
        </w:rPr>
      </w:pPr>
    </w:p>
    <w:p>
      <w:pPr>
        <w:ind w:firstLine="490"/>
        <w:spacing w:after="0" w:line="257" w:lineRule="auto"/>
        <w:rPr>
          <w:sz w:val="20"/>
          <w:szCs w:val="20"/>
          <w:color w:val="auto"/>
        </w:rPr>
      </w:pPr>
      <w:r>
        <w:rPr>
          <w:rFonts w:ascii="Arial" w:cs="Arial" w:eastAsia="Arial" w:hAnsi="Arial"/>
          <w:sz w:val="19"/>
          <w:szCs w:val="19"/>
          <w:color w:val="231F20"/>
        </w:rPr>
        <w:t>If a product that has orphan designation subsequently receives the first FDA approval for the same approved use or indication within such rare disease or condition for which it has such designation, the product is entitled to orphan product exclusivity, which means that the FDA may not approve any other applications to market the same drug for the same approved use or indication within the applicable rare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same use or indication within the rare disease or condition for which the orphan product has exclusivity or obtain approval for the same product but for a different use or indication within the rare disease or condition for which the orphan product has exclusivity. Orphan exclusivity also could block the approval of a competing product for seven years if a competitor obtains approval of the “same drug,” as defined by the FDA, or if the active moiety of the product candidate is determined to be contained within the competitor’s product when intended for the same use or indication within the applicable disease or condition. In addition, if an orphan designated product receives regulatory approval for a disease or condition broader than what is designated, it may not be entitled to orphan exclusivity.</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Post-approval Requirements</w:t>
      </w:r>
    </w:p>
    <w:p>
      <w:pPr>
        <w:spacing w:after="0" w:line="116" w:lineRule="exact"/>
        <w:rPr>
          <w:sz w:val="20"/>
          <w:szCs w:val="20"/>
          <w:color w:val="auto"/>
        </w:rPr>
      </w:pPr>
    </w:p>
    <w:p>
      <w:pPr>
        <w:ind w:right="380" w:firstLine="490"/>
        <w:spacing w:after="0" w:line="250" w:lineRule="auto"/>
        <w:rPr>
          <w:sz w:val="20"/>
          <w:szCs w:val="20"/>
          <w:color w:val="auto"/>
        </w:rPr>
      </w:pPr>
      <w:r>
        <w:rPr>
          <w:rFonts w:ascii="Arial" w:cs="Arial" w:eastAsia="Arial" w:hAnsi="Arial"/>
          <w:sz w:val="20"/>
          <w:szCs w:val="20"/>
          <w:color w:val="231F20"/>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certain manufacturing changes and additional labeling claims, are subject to further FDA review and approval.</w:t>
      </w:r>
    </w:p>
    <w:p>
      <w:pPr>
        <w:spacing w:after="0" w:line="192" w:lineRule="exact"/>
        <w:rPr>
          <w:sz w:val="20"/>
          <w:szCs w:val="20"/>
          <w:color w:val="auto"/>
        </w:rPr>
      </w:pPr>
    </w:p>
    <w:p>
      <w:pPr>
        <w:ind w:firstLine="490"/>
        <w:spacing w:after="0" w:line="264" w:lineRule="auto"/>
        <w:rPr>
          <w:sz w:val="20"/>
          <w:szCs w:val="20"/>
          <w:color w:val="auto"/>
        </w:rPr>
      </w:pPr>
      <w:r>
        <w:rPr>
          <w:rFonts w:ascii="Arial" w:cs="Arial" w:eastAsia="Arial" w:hAnsi="Arial"/>
          <w:sz w:val="19"/>
          <w:szCs w:val="19"/>
          <w:color w:val="231F20"/>
        </w:rPr>
        <w:t>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cGMPs and other aspects of regulatory compliance.</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780"/>
          </w:cols>
          <w:pgMar w:left="540" w:top="750" w:right="560" w:bottom="0" w:gutter="0" w:footer="0" w:header="0"/>
          <w:type w:val="continuous"/>
        </w:sectPr>
      </w:pPr>
    </w:p>
    <w:bookmarkStart w:id="16" w:name="page17"/>
    <w:bookmarkEnd w:id="16"/>
    <w:p>
      <w:pPr>
        <w:ind w:right="20" w:firstLine="490"/>
        <w:spacing w:after="0" w:line="248" w:lineRule="auto"/>
        <w:rPr>
          <w:sz w:val="20"/>
          <w:szCs w:val="20"/>
          <w:color w:val="auto"/>
        </w:rPr>
      </w:pPr>
      <w:r>
        <w:rPr>
          <w:rFonts w:ascii="Arial" w:cs="Arial" w:eastAsia="Arial" w:hAnsi="Arial"/>
          <w:sz w:val="20"/>
          <w:szCs w:val="20"/>
          <w:color w:val="231F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88" w:lineRule="exact"/>
        <w:rPr>
          <w:sz w:val="20"/>
          <w:szCs w:val="20"/>
          <w:color w:val="auto"/>
        </w:rPr>
      </w:pPr>
    </w:p>
    <w:p>
      <w:pPr>
        <w:ind w:left="980" w:right="480" w:hanging="490"/>
        <w:spacing w:after="0" w:line="282" w:lineRule="auto"/>
        <w:tabs>
          <w:tab w:leader="none" w:pos="9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restrictions on the marketing or manufacturing of the product, complete withdrawal of the product from the market or product recalls;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fines, warning letters, or untitled letters;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clinical holds on ongoing or planned clinical studies;</w:t>
      </w:r>
    </w:p>
    <w:p>
      <w:pPr>
        <w:spacing w:after="0" w:line="133" w:lineRule="exact"/>
        <w:rPr>
          <w:rFonts w:ascii="Arial" w:cs="Arial" w:eastAsia="Arial" w:hAnsi="Arial"/>
          <w:sz w:val="20"/>
          <w:szCs w:val="20"/>
          <w:color w:val="231F20"/>
        </w:rPr>
      </w:pPr>
    </w:p>
    <w:p>
      <w:pPr>
        <w:ind w:left="980" w:right="100" w:hanging="490"/>
        <w:spacing w:after="0" w:line="282" w:lineRule="auto"/>
        <w:tabs>
          <w:tab w:leader="none" w:pos="9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refusal of the FDA to approve pending applications or supplements to approved applications, or suspension or revocation of approvals;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product seizure or detention, or refusal to permit the import or export of products;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consent decrees, corporate integrity agreements, debarment or exclusion from federal healthcare programs;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mandated modification of promotional materials and labeling and the issuance of corrective information;</w:t>
      </w:r>
    </w:p>
    <w:p>
      <w:pPr>
        <w:spacing w:after="0" w:line="133" w:lineRule="exact"/>
        <w:rPr>
          <w:rFonts w:ascii="Arial" w:cs="Arial" w:eastAsia="Arial" w:hAnsi="Arial"/>
          <w:sz w:val="20"/>
          <w:szCs w:val="20"/>
          <w:color w:val="231F20"/>
        </w:rPr>
      </w:pPr>
    </w:p>
    <w:p>
      <w:pPr>
        <w:ind w:left="980" w:right="560" w:hanging="490"/>
        <w:spacing w:after="0" w:line="282" w:lineRule="auto"/>
        <w:tabs>
          <w:tab w:leader="none" w:pos="9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the issuance of safety alerts, Dear Healthcare Provider letters, press releases and other communications containing warnings or other safety information about the product; or</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injunctions or the imposition of civil or criminal penalties.</w:t>
      </w:r>
    </w:p>
    <w:p>
      <w:pPr>
        <w:spacing w:after="0" w:line="240"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In addition,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Marketing Exclusivity</w:t>
      </w:r>
    </w:p>
    <w:p>
      <w:pPr>
        <w:spacing w:after="0" w:line="116"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Regulatory exclusivity provisions under the FDCA can delay the submission or the approval of certain marketing applications. The FDCA provides a five-year period of non-patent data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202"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231F20"/>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800"/>
          </w:cols>
          <w:pgMar w:left="540" w:top="750" w:right="540" w:bottom="0" w:gutter="0" w:footer="0" w:header="0"/>
          <w:type w:val="continuous"/>
        </w:sectPr>
      </w:pPr>
    </w:p>
    <w:bookmarkStart w:id="17" w:name="page18"/>
    <w:bookmarkEnd w:id="17"/>
    <w:p>
      <w:pPr>
        <w:ind w:right="40" w:firstLine="490"/>
        <w:spacing w:after="0" w:line="250" w:lineRule="auto"/>
        <w:rPr>
          <w:sz w:val="20"/>
          <w:szCs w:val="20"/>
          <w:color w:val="auto"/>
        </w:rPr>
      </w:pPr>
      <w:r>
        <w:rPr>
          <w:rFonts w:ascii="Arial" w:cs="Arial" w:eastAsia="Arial" w:hAnsi="Arial"/>
          <w:sz w:val="20"/>
          <w:szCs w:val="20"/>
          <w:color w:val="231F20"/>
        </w:rPr>
        <w:t>Pediatric exclusivity is another type of marketing exclusivity available in the U.S. Pediatric exclusivity provides for an additional six months of marketing exclusivity attached to another period of existing exclusivity or an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spacing w:after="0" w:line="192" w:lineRule="exact"/>
        <w:rPr>
          <w:sz w:val="20"/>
          <w:szCs w:val="20"/>
          <w:color w:val="auto"/>
        </w:rPr>
      </w:pPr>
    </w:p>
    <w:p>
      <w:pPr>
        <w:ind w:right="60" w:firstLine="490"/>
        <w:spacing w:after="0" w:line="262" w:lineRule="auto"/>
        <w:rPr>
          <w:sz w:val="20"/>
          <w:szCs w:val="20"/>
          <w:color w:val="auto"/>
        </w:rPr>
      </w:pPr>
      <w:r>
        <w:rPr>
          <w:rFonts w:ascii="Arial" w:cs="Arial" w:eastAsia="Arial" w:hAnsi="Arial"/>
          <w:sz w:val="19"/>
          <w:szCs w:val="19"/>
          <w:color w:val="231F20"/>
        </w:rPr>
        <w:t>Additionally, under the Generating Antibiotics Incentives Now (“GAIN”) Act, the FDA may designate a product as a “qualified infectious disease product,” or QIDP. In order to receive this designation, a drug must qualify as an antibacterial or antifungal drug for human use intended to treat serious or life-threatening infections, including those caused by either</w:t>
      </w:r>
    </w:p>
    <w:p>
      <w:pPr>
        <w:spacing w:after="0" w:line="242" w:lineRule="auto"/>
        <w:tabs>
          <w:tab w:leader="none" w:pos="300" w:val="left"/>
        </w:tabs>
        <w:numPr>
          <w:ilvl w:val="0"/>
          <w:numId w:val="10"/>
        </w:numPr>
        <w:rPr>
          <w:rFonts w:ascii="Arial" w:cs="Arial" w:eastAsia="Arial" w:hAnsi="Arial"/>
          <w:sz w:val="20"/>
          <w:szCs w:val="20"/>
          <w:color w:val="231F20"/>
        </w:rPr>
      </w:pPr>
      <w:r>
        <w:rPr>
          <w:rFonts w:ascii="Arial" w:cs="Arial" w:eastAsia="Arial" w:hAnsi="Arial"/>
          <w:sz w:val="20"/>
          <w:szCs w:val="20"/>
          <w:color w:val="231F20"/>
        </w:rPr>
        <w:t>an antibacterial or antifungal resistant pathogen, including novel or emerging infectious pathogens, or (2) a so-called “qualifying pathogen” found on a list of potentially dangerous, drug-resistant organisms established and maintained by the FDA under the law. The FDA interprets QIDP designation to apply to a specific drug product, including a specific dosage form of the product. A sponsor must request such designation before submitting a marketing application, and the FDA will respond to a request for QIDP designation within 60 days of the date the FDA receives the request. The GAIN Act permits the FDA to revoke a QIDP designation only if the request for such designation contained an untrue statement of material fact.</w:t>
      </w:r>
    </w:p>
    <w:p>
      <w:pPr>
        <w:spacing w:after="0" w:line="201" w:lineRule="exact"/>
        <w:rPr>
          <w:sz w:val="20"/>
          <w:szCs w:val="20"/>
          <w:color w:val="auto"/>
        </w:rPr>
      </w:pPr>
    </w:p>
    <w:p>
      <w:pPr>
        <w:ind w:right="200" w:firstLine="490"/>
        <w:spacing w:after="0" w:line="246" w:lineRule="auto"/>
        <w:rPr>
          <w:sz w:val="20"/>
          <w:szCs w:val="20"/>
          <w:color w:val="auto"/>
        </w:rPr>
      </w:pPr>
      <w:r>
        <w:rPr>
          <w:rFonts w:ascii="Arial" w:cs="Arial" w:eastAsia="Arial" w:hAnsi="Arial"/>
          <w:sz w:val="20"/>
          <w:szCs w:val="20"/>
          <w:color w:val="231F20"/>
        </w:rPr>
        <w:t>The benefits of QIDP designation include potential eligibility for priority review and Fast Track designation, and an extension by an additional five years of any non-patent regulatory exclusivity period awarded, such as a five-year exclusivity period awarded for a new molecular entity. This extension is in addition to any pediatric exclusivity extension awarded, and the extension will be awarded only to a drug first approved on or after the date of enactment of the GAIN Act. The GAIN Act prohibits the grant of an exclusivity extension where the application is a supplement to an application for which an extension is in effect or has expired, is a subsequent application for a specified change to an approved product, or is an application for a product that does not meet the definition of QIDP based on the uses for which it is ultimately approved.</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Tropical Disease Priority Review Voucher Program</w:t>
      </w:r>
    </w:p>
    <w:p>
      <w:pPr>
        <w:spacing w:after="0" w:line="116" w:lineRule="exact"/>
        <w:rPr>
          <w:sz w:val="20"/>
          <w:szCs w:val="20"/>
          <w:color w:val="auto"/>
        </w:rPr>
      </w:pPr>
    </w:p>
    <w:p>
      <w:pPr>
        <w:ind w:right="60" w:firstLine="490"/>
        <w:spacing w:after="0" w:line="245" w:lineRule="auto"/>
        <w:rPr>
          <w:sz w:val="20"/>
          <w:szCs w:val="20"/>
          <w:color w:val="auto"/>
        </w:rPr>
      </w:pPr>
      <w:r>
        <w:rPr>
          <w:rFonts w:ascii="Arial" w:cs="Arial" w:eastAsia="Arial" w:hAnsi="Arial"/>
          <w:sz w:val="20"/>
          <w:szCs w:val="20"/>
          <w:color w:val="231F20"/>
        </w:rPr>
        <w:t>In 2007, Congress authorized the FDA to award priority review vouchers (“PRVs”), to sponsors of certain tropical disease product applications. The FDA’s Tropical Disease Priority Review Voucher Program is designed to encourage development of new drug and biological products for the prevention and treatment of certain tropical diseases affecting millions of people throughout the world. Under this program, a sponsor who receives an approval for a drug or biologic for the prevention or treatment a tropical disease that meets certain criteria may qualify for a PRV that can be redeemed to receive priority review of a subsequent NDA or Biologics License Application (“BLA”), for a different product. The sponsor of a tropical disease drug product receiving a priority review voucher may transfer (including by sale) the voucher to another sponsor of an NDA or BLA. The FDCA does not limit the number of times a priority review voucher may be transferred before the voucher is used.</w:t>
      </w:r>
    </w:p>
    <w:p>
      <w:pPr>
        <w:spacing w:after="0" w:line="197" w:lineRule="exact"/>
        <w:rPr>
          <w:sz w:val="20"/>
          <w:szCs w:val="20"/>
          <w:color w:val="auto"/>
        </w:rPr>
      </w:pPr>
    </w:p>
    <w:p>
      <w:pPr>
        <w:ind w:right="160" w:firstLine="490"/>
        <w:spacing w:after="0" w:line="244" w:lineRule="auto"/>
        <w:rPr>
          <w:sz w:val="20"/>
          <w:szCs w:val="20"/>
          <w:color w:val="auto"/>
        </w:rPr>
      </w:pPr>
      <w:r>
        <w:rPr>
          <w:rFonts w:ascii="Arial" w:cs="Arial" w:eastAsia="Arial" w:hAnsi="Arial"/>
          <w:sz w:val="20"/>
          <w:szCs w:val="20"/>
          <w:color w:val="231F20"/>
        </w:rPr>
        <w:t>For a product to qualify for a PRV, (i) the sponsor must request approval of the product for the prevention or treatment of a “tropical disease” listed in Section 524 of the FDCA, (ii) the product must otherwise qualify for priority review, and (iii) the product must contain no active ingredient (including any salt or ester of an active ingredient) that has been approved by the FDA in any other NDA or BLA. The Food and Drug Administration Reauthorization Act of 2017 made further changes to the eligibility criteria for receipt of a tropical disease PRV under this program. Specifically, applications submitted after September 30, 2017 must also contain reports of one or more new clinical investigations (other than bioavailability studies) that were essential to the approval of the application and conducted or sponsored by the sponsor. In addition, the applicant must attest that such report(s) were not submitted as part of an application for regulatory approval or licensure by a regulatory authority in India, Brazil, Thailand and certain other countries prior to September 27, 2007.</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Other Healthcare Laws</w:t>
      </w:r>
    </w:p>
    <w:p>
      <w:pPr>
        <w:spacing w:after="0" w:line="116" w:lineRule="exact"/>
        <w:rPr>
          <w:sz w:val="20"/>
          <w:szCs w:val="20"/>
          <w:color w:val="auto"/>
        </w:rPr>
      </w:pPr>
    </w:p>
    <w:p>
      <w:pPr>
        <w:ind w:right="620" w:firstLine="490"/>
        <w:spacing w:after="0" w:line="261" w:lineRule="auto"/>
        <w:rPr>
          <w:sz w:val="20"/>
          <w:szCs w:val="20"/>
          <w:color w:val="auto"/>
        </w:rPr>
      </w:pPr>
      <w:r>
        <w:rPr>
          <w:rFonts w:ascii="Arial" w:cs="Arial" w:eastAsia="Arial" w:hAnsi="Arial"/>
          <w:sz w:val="20"/>
          <w:szCs w:val="20"/>
          <w:color w:val="231F20"/>
        </w:rPr>
        <w:t>In the U.S., we are subject to a number of federal and state healthcare regulatory laws that restrict business practices in the healthcare industry. These laws include, but are not limited to, federal and state anti-kickback, false claims, and other healthcare fraud and abuse laws, as follows: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780"/>
          </w:cols>
          <w:pgMar w:left="540" w:top="750" w:right="560" w:bottom="0" w:gutter="0" w:footer="0" w:header="0"/>
          <w:type w:val="continuous"/>
        </w:sectPr>
      </w:pPr>
    </w:p>
    <w:bookmarkStart w:id="18" w:name="page19"/>
    <w:bookmarkEnd w:id="18"/>
    <w:p>
      <w:pPr>
        <w:ind w:right="180" w:firstLine="490"/>
        <w:spacing w:after="0" w:line="248" w:lineRule="auto"/>
        <w:rPr>
          <w:sz w:val="20"/>
          <w:szCs w:val="20"/>
          <w:color w:val="auto"/>
        </w:rPr>
      </w:pPr>
      <w:r>
        <w:rPr>
          <w:rFonts w:ascii="Arial" w:cs="Arial" w:eastAsia="Arial" w:hAnsi="Arial"/>
          <w:sz w:val="20"/>
          <w:szCs w:val="20"/>
          <w:color w:val="231F20"/>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A person or entity does not need to have actual knowledge of the statute or specific intent to violate it in order to have committed a violation.</w:t>
      </w:r>
    </w:p>
    <w:p>
      <w:pPr>
        <w:spacing w:after="0" w:line="194" w:lineRule="exact"/>
        <w:rPr>
          <w:sz w:val="20"/>
          <w:szCs w:val="20"/>
          <w:color w:val="auto"/>
        </w:rPr>
      </w:pPr>
    </w:p>
    <w:p>
      <w:pPr>
        <w:ind w:right="60" w:firstLine="490"/>
        <w:spacing w:after="0" w:line="245" w:lineRule="auto"/>
        <w:rPr>
          <w:sz w:val="20"/>
          <w:szCs w:val="20"/>
          <w:color w:val="auto"/>
        </w:rPr>
      </w:pPr>
      <w:r>
        <w:rPr>
          <w:rFonts w:ascii="Arial" w:cs="Arial" w:eastAsia="Arial" w:hAnsi="Arial"/>
          <w:sz w:val="20"/>
          <w:szCs w:val="20"/>
          <w:color w:val="231F20"/>
        </w:rPr>
        <w:t>The federal false claims,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w:t>
      </w:r>
    </w:p>
    <w:p>
      <w:pPr>
        <w:spacing w:after="0" w:line="197"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color w:val="231F20"/>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192"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231F20"/>
        </w:rPr>
        <w:t>The Health Insurance Portability and Accountability Act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94" w:lineRule="exact"/>
        <w:rPr>
          <w:sz w:val="20"/>
          <w:szCs w:val="20"/>
          <w:color w:val="auto"/>
        </w:rPr>
      </w:pPr>
    </w:p>
    <w:p>
      <w:pPr>
        <w:ind w:right="300" w:firstLine="490"/>
        <w:spacing w:after="0" w:line="248" w:lineRule="auto"/>
        <w:rPr>
          <w:sz w:val="20"/>
          <w:szCs w:val="20"/>
          <w:color w:val="auto"/>
        </w:rPr>
      </w:pPr>
      <w:r>
        <w:rPr>
          <w:rFonts w:ascii="Arial" w:cs="Arial" w:eastAsia="Arial" w:hAnsi="Arial"/>
          <w:sz w:val="20"/>
          <w:szCs w:val="20"/>
          <w:color w:val="231F20"/>
        </w:rPr>
        <w:t>HIPAA, as amended by the Health Information Technology for Economic and Clinical Health Act of 2009 (“HITECH”), and their respective implementing regulations, which impose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194" w:lineRule="exact"/>
        <w:rPr>
          <w:sz w:val="20"/>
          <w:szCs w:val="20"/>
          <w:color w:val="auto"/>
        </w:rPr>
      </w:pPr>
    </w:p>
    <w:p>
      <w:pPr>
        <w:ind w:right="140" w:firstLine="490"/>
        <w:spacing w:after="0" w:line="247" w:lineRule="auto"/>
        <w:rPr>
          <w:sz w:val="20"/>
          <w:szCs w:val="20"/>
          <w:color w:val="auto"/>
        </w:rPr>
      </w:pPr>
      <w:r>
        <w:rPr>
          <w:rFonts w:ascii="Arial" w:cs="Arial" w:eastAsia="Arial" w:hAnsi="Arial"/>
          <w:sz w:val="20"/>
          <w:szCs w:val="20"/>
          <w:color w:val="231F20"/>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payments or other transfers of value made to physicians (defined to include doctors, dentists, optometrists, podiatrists, and chiropractors), certain other healthcare professionals including physician assistants and nurse practitioners, and teaching hospitals, and applicable manufacturers and applicable group purchasing organizations to report annually to CMS ownership and investment interests held by physicians and their immediate family members.</w:t>
      </w:r>
    </w:p>
    <w:p>
      <w:pPr>
        <w:spacing w:after="0" w:line="193"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231F20"/>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800"/>
          </w:cols>
          <w:pgMar w:left="540" w:top="750" w:right="540" w:bottom="0" w:gutter="0" w:footer="0" w:header="0"/>
          <w:type w:val="continuous"/>
        </w:sectPr>
      </w:pPr>
    </w:p>
    <w:bookmarkStart w:id="19" w:name="page20"/>
    <w:bookmarkEnd w:id="19"/>
    <w:p>
      <w:pPr>
        <w:ind w:right="40" w:firstLine="490"/>
        <w:spacing w:after="0" w:line="250" w:lineRule="auto"/>
        <w:rPr>
          <w:sz w:val="20"/>
          <w:szCs w:val="20"/>
          <w:color w:val="auto"/>
        </w:rPr>
      </w:pPr>
      <w:r>
        <w:rPr>
          <w:rFonts w:ascii="Arial" w:cs="Arial" w:eastAsia="Arial" w:hAnsi="Arial"/>
          <w:sz w:val="20"/>
          <w:szCs w:val="20"/>
          <w:color w:val="231F20"/>
        </w:rPr>
        <w:t>Violations of any of these laws and other applicable healthcare fraud and abuse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Coverage and Reimbursement</w:t>
      </w:r>
    </w:p>
    <w:p>
      <w:pPr>
        <w:spacing w:after="0" w:line="116"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231F20"/>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U.S., no uniform policy exists for coverage and reimbursement for pharmaceutical products among third-party payors. Therefore, decisions regarding the extent of coverage and amount of reimbursement to be provided are made on a plan-by-plan basis. The process for determining whether a third-party payor will provide coverage for a product typically is separate from the process for setting the price of such product or for establishing the reimbursement rate that the payor will pay for the product once coverage is approved.</w:t>
      </w:r>
    </w:p>
    <w:p>
      <w:pPr>
        <w:spacing w:after="0" w:line="194"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231F20"/>
        </w:rPr>
        <w:t>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 Additionally, a third-party payor’s decision to provide coverage for a product does not imply that an adequate reimbursement rate will be approved.</w:t>
      </w:r>
    </w:p>
    <w:p>
      <w:pPr>
        <w:spacing w:after="0" w:line="197" w:lineRule="exact"/>
        <w:rPr>
          <w:sz w:val="20"/>
          <w:szCs w:val="20"/>
          <w:color w:val="auto"/>
        </w:rPr>
      </w:pPr>
    </w:p>
    <w:p>
      <w:pPr>
        <w:ind w:right="260" w:firstLine="490"/>
        <w:spacing w:after="0" w:line="247" w:lineRule="auto"/>
        <w:rPr>
          <w:sz w:val="20"/>
          <w:szCs w:val="20"/>
          <w:color w:val="auto"/>
        </w:rPr>
      </w:pPr>
      <w:r>
        <w:rPr>
          <w:rFonts w:ascii="Arial" w:cs="Arial" w:eastAsia="Arial" w:hAnsi="Arial"/>
          <w:sz w:val="20"/>
          <w:szCs w:val="20"/>
          <w:color w:val="231F20"/>
        </w:rPr>
        <w:t>Moreover, as a condition of participating in, and having products covered under, certain federal healthcare programs, such as Medicare and Medicaid, we are subject to federal laws and regulations that require pharmaceutical manufacturers to calculate and report certain price reporting metrics to the government, such as Medicaid Average Manufacturer Price (“AMP”), and Best Price, Medicare Average Sales Price, the 340B Ceiling Price, and Non-Federal AMP reported to the Department of Veteran Affairs, and with respect to Medicaid, pay statutory rebates on utilization of manufacturers’ products by Medicaid beneficiaries. Compliance with such laws and regulations require significant resources and any findings of non-compliance may have a material adverse effect on our revenues.</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Healthcare Reform</w:t>
      </w:r>
    </w:p>
    <w:p>
      <w:pPr>
        <w:spacing w:after="0" w:line="116" w:lineRule="exact"/>
        <w:rPr>
          <w:sz w:val="20"/>
          <w:szCs w:val="20"/>
          <w:color w:val="auto"/>
        </w:rPr>
      </w:pPr>
    </w:p>
    <w:p>
      <w:pPr>
        <w:ind w:firstLine="490"/>
        <w:spacing w:after="0" w:line="242" w:lineRule="auto"/>
        <w:rPr>
          <w:sz w:val="20"/>
          <w:szCs w:val="20"/>
          <w:color w:val="auto"/>
        </w:rPr>
      </w:pPr>
      <w:r>
        <w:rPr>
          <w:rFonts w:ascii="Arial" w:cs="Arial" w:eastAsia="Arial" w:hAnsi="Arial"/>
          <w:sz w:val="20"/>
          <w:szCs w:val="20"/>
          <w:color w:val="231F20"/>
        </w:rPr>
        <w:t>In the U.S. and certain foreign jurisdictions, there have been, and we expect there will continue to be, a number of legislative and regulatory changes to the healthcare system. In the U.S., by way of example, in March 2010, the Affordable Care Act (“ACA”) was signed into law, which substantially changed the way healthcare is financed by both governmental and private insurers in the U.S. and significantly affected the pharmaceutical industry. The ACA, among other things, increased the minimum level of Medicaid rebates payable by manufacturers of brand name drugs;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potentially including prescription drug spending. Since its enactment, there have been judicial, administrative, executive, and Congressional legislative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760"/>
          </w:cols>
          <w:pgMar w:left="540" w:top="750" w:right="580" w:bottom="0" w:gutter="0" w:footer="0" w:header="0"/>
          <w:type w:val="continuous"/>
        </w:sectPr>
      </w:pPr>
    </w:p>
    <w:bookmarkStart w:id="20" w:name="page21"/>
    <w:bookmarkEnd w:id="20"/>
    <w:p>
      <w:pPr>
        <w:ind w:firstLine="490"/>
        <w:spacing w:after="0" w:line="246" w:lineRule="auto"/>
        <w:rPr>
          <w:sz w:val="20"/>
          <w:szCs w:val="20"/>
          <w:color w:val="auto"/>
        </w:rPr>
      </w:pPr>
      <w:r>
        <w:rPr>
          <w:rFonts w:ascii="Arial" w:cs="Arial" w:eastAsia="Arial" w:hAnsi="Arial"/>
          <w:sz w:val="20"/>
          <w:szCs w:val="20"/>
          <w:color w:val="231F20"/>
        </w:rPr>
        <w:t>Other legislative changes have been proposed and adopted since the ACA was enacted, including aggregate reductions of Medicare payments to providers, which was temporarily suspended from May 1, 2020 through March 31, 2022. On January 2, 2013, the American Taxpayer Relief Act of 2012 was signed into law, which, among other things, reduced payments to several types of Medicare providers, including hospitals, and increased the statute of limitations period for the government to recover overpayments to providers from three to five years. In addition, the American Rescue Plan Act of 2021, effective January 1, 2024, eliminated the statutory cap on rebate amounts owed by drug manufacturers under the Medicaid Drug Rebate Program (“MDRP”), which was previously capped at 100% of the AMP for a covered outpatient drug.</w:t>
      </w:r>
    </w:p>
    <w:p>
      <w:pPr>
        <w:spacing w:after="0" w:line="194"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 August 2022, the Inflation Reduction Act of 2022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Department of Health and Human Services (“HHS”) to implement many of these provisions through guidance, as opposed to regulation, for the initial years. HHS has issued and will continue to issue guidance implementing the IRA. CMS published the negotiated prices for the initial ten drugs, which went into effect in 2026, and the subsequent 15 drugs, which will first be effective in 2027, as well the next set of 15 drugs that will be subject to negotiation, although the Medicare drug price negotiation program is currently subject to legal challenges. While the impact of the IRA on our business and the pharmaceutical industry cannot yet be fully determined, it is likely to be significant.</w:t>
      </w:r>
    </w:p>
    <w:p>
      <w:pPr>
        <w:spacing w:after="0" w:line="197" w:lineRule="exact"/>
        <w:rPr>
          <w:sz w:val="20"/>
          <w:szCs w:val="20"/>
          <w:color w:val="auto"/>
        </w:rPr>
      </w:pPr>
    </w:p>
    <w:p>
      <w:pPr>
        <w:ind w:right="40" w:firstLine="490"/>
        <w:spacing w:after="0" w:line="261" w:lineRule="auto"/>
        <w:rPr>
          <w:sz w:val="20"/>
          <w:szCs w:val="20"/>
          <w:color w:val="auto"/>
        </w:rPr>
      </w:pPr>
      <w:r>
        <w:rPr>
          <w:rFonts w:ascii="Arial" w:cs="Arial" w:eastAsia="Arial" w:hAnsi="Arial"/>
          <w:sz w:val="20"/>
          <w:szCs w:val="20"/>
          <w:color w:val="231F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80"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200"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231F20"/>
        </w:rPr>
        <w:t>Individual states in the U.S. have also become increasingly active in implementing regulations designed to control pharmaceutical product pricing, including price or patient reimbursement constraints, discounts, restrictions on certain product access and marketing cost disclosure, drug price reporting and other transparency measures and, in some cases, mechanisms to encourage importation from other countries and bulk purchasing. Some states have enacted legislation creating so-called prescription drug affordability boards, which ultimately may attempt to impose price limits on certain drugs in these states.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spacing w:after="0" w:line="197" w:lineRule="exact"/>
        <w:rPr>
          <w:sz w:val="20"/>
          <w:szCs w:val="20"/>
          <w:color w:val="auto"/>
        </w:rPr>
      </w:pPr>
    </w:p>
    <w:p>
      <w:pPr>
        <w:jc w:val="both"/>
        <w:ind w:right="180" w:firstLine="490"/>
        <w:spacing w:after="0" w:line="261" w:lineRule="auto"/>
        <w:rPr>
          <w:sz w:val="20"/>
          <w:szCs w:val="20"/>
          <w:color w:val="auto"/>
        </w:rPr>
      </w:pPr>
      <w:r>
        <w:rPr>
          <w:rFonts w:ascii="Arial" w:cs="Arial" w:eastAsia="Arial" w:hAnsi="Arial"/>
          <w:sz w:val="20"/>
          <w:szCs w:val="20"/>
          <w:color w:val="231F20"/>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780"/>
          </w:cols>
          <w:pgMar w:left="540" w:top="750" w:right="560" w:bottom="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i w:val="1"/>
          <w:iCs w:val="1"/>
          <w:color w:val="231F20"/>
        </w:rPr>
        <w:t>Data Privacy and Security Laws</w:t>
      </w:r>
    </w:p>
    <w:p>
      <w:pPr>
        <w:spacing w:after="0" w:line="116"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231F20"/>
        </w:rPr>
        <w:t>As a pharmaceutical company, we are subject to state, federal and foreign laws, including consumer protection laws and regulations, governing the collection, dissemination, use, access to, confidentiality, and security of personal information, including health-related information. For example, in the U.S., numerous federal and state laws and regulations, including data breach notification laws, health information privacy and security laws (e.g., the Health Insurance Portability and Accountability Act (“HIPAA”)), and federal and state consumer protection laws and regulations (e.g., Section 5 of the Federal Trade Commission Act) that govern the collection, dissemination, use, protection and other processing of health-related and other personal information currently or could in the future apply to our operations or the operations of our partners. In addition, certain state and non-U.S. laws, such as the California Consumer Privacy Act (“CCPA”), and the General Data Protection Regulation (“GDPR”), govern the privacy and security of personal information, including health-related information in certain circumstances, some of which are more stringent than HIPAA and many of which differ from each other in significant ways, thus complicating compliance efforts. Failure to comply with data privacy and security laws, where applicable, can result in the imposition of significant civil and/or criminal penalties and private litigation. Privacy and security laws, regulations, and other obligations are constantly evolving, can conflict with each other to make compliance efforts more challenging, and can result in investigations, proceedings, or actions that lead to significant penalties and restrictions on data processing.</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Japanese Drug Regulation</w:t>
      </w:r>
    </w:p>
    <w:p>
      <w:pPr>
        <w:spacing w:after="0" w:line="116"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231F20"/>
        </w:rPr>
        <w:t>Being a member of the ICH, Japan has pharmaceutical regulations fundamentally similar to those of the U.S. and the EU. Clinical trials of medicinal products in Japan must be conducted in accordance with Japanese regulations based on ICH guidelines governing GCP. If the sponsor of the clinical trial is not established within Japan, it must appoint an entity within the country to act as its caretaker who should be authorized to act on the sponsor’s behalf. The sponsor must take out a clinical trial insurance policy, and, according to the industry agreement, should put in place a common compensation policy for the injuries from the trial. Prior to the commencement of human clinical studies, the sponsor must complete an evaluation of the safety of the investigative product and submit a clinical trial notification and clinical trial protocol to the authorities in advance, upon agreement of the IRB of the participating institutions. When the authorities do not comment on the notification, the sponsor may proceed with the clinical trial. Any substantial changes to the trial protocol or other information submitted must be cleared by the IRB and notified to the authorities. Medicines used in clinical trials must be manufactured in accordance with GMP.</w:t>
      </w:r>
    </w:p>
    <w:p>
      <w:pPr>
        <w:spacing w:after="0" w:line="198"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231F20"/>
        </w:rPr>
        <w:t>To market a medicinal product in Japan, we must obtain regulatory approval. To obtain regulatory approval of an investigational medicinal product, we must submit a new drug application. If the product is designed for treating certain “difficult diseases” or those whose patient size is limited, we may be able to obtain designation as an orphan drug product if it demonstrates unique therapeutic value. Separately, the latest amendment to the law introduced separate pathways for (i) truly innovative products with a unique mode of action and (ii) those which will satisfy unmet medical needs.</w:t>
      </w:r>
    </w:p>
    <w:p>
      <w:pPr>
        <w:spacing w:after="0" w:line="192" w:lineRule="exact"/>
        <w:rPr>
          <w:sz w:val="20"/>
          <w:szCs w:val="20"/>
          <w:color w:val="auto"/>
        </w:rPr>
      </w:pPr>
    </w:p>
    <w:p>
      <w:pPr>
        <w:ind w:right="60" w:firstLine="490"/>
        <w:spacing w:after="0" w:line="254" w:lineRule="auto"/>
        <w:rPr>
          <w:sz w:val="20"/>
          <w:szCs w:val="20"/>
          <w:color w:val="auto"/>
        </w:rPr>
      </w:pPr>
      <w:r>
        <w:rPr>
          <w:rFonts w:ascii="Arial" w:cs="Arial" w:eastAsia="Arial" w:hAnsi="Arial"/>
          <w:sz w:val="20"/>
          <w:szCs w:val="20"/>
          <w:color w:val="231F20"/>
        </w:rPr>
        <w:t>The evaluation of new drug applications is based on an assessment of the risk-benefit balance of the product on the basis of scientific criteria concerning its quality, safety, and efficacy. Once the review organization completes its review, the matter is considered by the advisory committee of experts, and the government grants approval upon positive recommendation from the committee.</w:t>
      </w:r>
    </w:p>
    <w:p>
      <w:pPr>
        <w:spacing w:after="0" w:line="186" w:lineRule="exact"/>
        <w:rPr>
          <w:sz w:val="20"/>
          <w:szCs w:val="20"/>
          <w:color w:val="auto"/>
        </w:rPr>
      </w:pPr>
    </w:p>
    <w:p>
      <w:pPr>
        <w:ind w:right="80" w:firstLine="490"/>
        <w:spacing w:after="0" w:line="254" w:lineRule="auto"/>
        <w:rPr>
          <w:sz w:val="20"/>
          <w:szCs w:val="20"/>
          <w:color w:val="auto"/>
        </w:rPr>
      </w:pPr>
      <w:r>
        <w:rPr>
          <w:rFonts w:ascii="Arial" w:cs="Arial" w:eastAsia="Arial" w:hAnsi="Arial"/>
          <w:sz w:val="20"/>
          <w:szCs w:val="20"/>
          <w:color w:val="231F20"/>
        </w:rPr>
        <w:t>The volume and quality of the clinical data are key determinants of the approval decision. Clinical trial data generated overseas is accepted as part of the data package consistent with the ICH recommendation. Typically, a limited dose response clinical trial for Japanese subjects is required to ensure that data are extrapolatable for the Japanese population.</w:t>
      </w:r>
    </w:p>
    <w:p>
      <w:pPr>
        <w:spacing w:after="0" w:line="186" w:lineRule="exact"/>
        <w:rPr>
          <w:sz w:val="20"/>
          <w:szCs w:val="20"/>
          <w:color w:val="auto"/>
        </w:rPr>
      </w:pPr>
    </w:p>
    <w:p>
      <w:pPr>
        <w:ind w:right="160" w:firstLine="490"/>
        <w:spacing w:after="0" w:line="254" w:lineRule="auto"/>
        <w:rPr>
          <w:sz w:val="20"/>
          <w:szCs w:val="20"/>
          <w:color w:val="auto"/>
        </w:rPr>
      </w:pPr>
      <w:r>
        <w:rPr>
          <w:rFonts w:ascii="Arial" w:cs="Arial" w:eastAsia="Arial" w:hAnsi="Arial"/>
          <w:sz w:val="20"/>
          <w:szCs w:val="20"/>
          <w:color w:val="231F20"/>
        </w:rPr>
        <w:t>Separate from the approval requirement, it is also mandatory to possess a distribution license of an appropriate class for the manufacturer to commercially distribute the product in Japan. Non-Japanese companies who possess only the product approval may designate an appropriate license holder in Japan to commercially distribute the product, rather than distributing it on its own. The license is valid for five years.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Employees and Human Capital Resources</w:t>
      </w:r>
    </w:p>
    <w:p>
      <w:pPr>
        <w:spacing w:after="0" w:line="116" w:lineRule="exact"/>
        <w:rPr>
          <w:sz w:val="20"/>
          <w:szCs w:val="20"/>
          <w:color w:val="auto"/>
        </w:rPr>
      </w:pPr>
    </w:p>
    <w:p>
      <w:pPr>
        <w:ind w:right="140" w:firstLine="490"/>
        <w:spacing w:after="0" w:line="261" w:lineRule="auto"/>
        <w:rPr>
          <w:sz w:val="20"/>
          <w:szCs w:val="20"/>
          <w:color w:val="auto"/>
        </w:rPr>
      </w:pPr>
      <w:r>
        <w:rPr>
          <w:rFonts w:ascii="Arial" w:cs="Arial" w:eastAsia="Arial" w:hAnsi="Arial"/>
          <w:sz w:val="20"/>
          <w:szCs w:val="20"/>
          <w:color w:val="231F20"/>
        </w:rPr>
        <w:t>As of March 17, 2026, we had 21 full-time employees, consisting of research, manufacturing, clinical operations, quality, finance, and operational personnel. None of our employees are subject to a collective bargaining agreement. We consider our relationship with our employees to be good.</w:t>
      </w:r>
    </w:p>
    <w:p>
      <w:pPr>
        <w:sectPr>
          <w:pgSz w:w="11880" w:h="15480" w:orient="portrait"/>
          <w:cols w:equalWidth="0" w:num="1">
            <w:col w:w="10780"/>
          </w:cols>
          <w:pgMar w:left="540" w:top="754" w:right="56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780"/>
          </w:cols>
          <w:pgMar w:left="540" w:top="754" w:right="560" w:bottom="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i w:val="1"/>
          <w:iCs w:val="1"/>
          <w:color w:val="231F20"/>
        </w:rPr>
        <w:t>Corporate Information</w:t>
      </w:r>
    </w:p>
    <w:p>
      <w:pPr>
        <w:spacing w:after="0" w:line="116" w:lineRule="exact"/>
        <w:rPr>
          <w:sz w:val="20"/>
          <w:szCs w:val="20"/>
          <w:color w:val="auto"/>
        </w:rPr>
      </w:pPr>
    </w:p>
    <w:p>
      <w:pPr>
        <w:ind w:right="40" w:firstLine="490"/>
        <w:spacing w:after="0" w:line="254" w:lineRule="auto"/>
        <w:rPr>
          <w:sz w:val="20"/>
          <w:szCs w:val="20"/>
          <w:color w:val="auto"/>
        </w:rPr>
      </w:pPr>
      <w:r>
        <w:rPr>
          <w:rFonts w:ascii="Arial" w:cs="Arial" w:eastAsia="Arial" w:hAnsi="Arial"/>
          <w:sz w:val="20"/>
          <w:szCs w:val="20"/>
          <w:color w:val="231F20"/>
        </w:rPr>
        <w:t>We incorporated in Delaware on February 24, 2017 and launched operations in November 2019. We completed the initial public offering (the “IPO”) of our common stock in March 2022, and our common stock is listed on the Nasdaq Global Select Market under the symbol “ANTX.” Our principal executive offices are located at 1300 El Camino Real, Suite A, Menlo Park, California, 94025, and our telephone number is (650) 331-9090.</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Securities Exchange Act Reports</w:t>
      </w:r>
    </w:p>
    <w:p>
      <w:pPr>
        <w:spacing w:after="0" w:line="116" w:lineRule="exact"/>
        <w:rPr>
          <w:sz w:val="20"/>
          <w:szCs w:val="20"/>
          <w:color w:val="auto"/>
        </w:rPr>
      </w:pPr>
    </w:p>
    <w:p>
      <w:pPr>
        <w:ind w:right="100" w:firstLine="490"/>
        <w:spacing w:after="0" w:line="282" w:lineRule="auto"/>
        <w:rPr>
          <w:sz w:val="20"/>
          <w:szCs w:val="20"/>
          <w:color w:val="auto"/>
        </w:rPr>
      </w:pPr>
      <w:r>
        <w:rPr>
          <w:rFonts w:ascii="Arial" w:cs="Arial" w:eastAsia="Arial" w:hAnsi="Arial"/>
          <w:sz w:val="20"/>
          <w:szCs w:val="20"/>
          <w:color w:val="231F20"/>
        </w:rPr>
        <w:t>The Company maintains a website at the following address: https:// www.an2therapeutics.com/. The information on the Company's website is not incorporated by reference in this Annual Report on Form 10-K.</w:t>
      </w:r>
    </w:p>
    <w:p>
      <w:pPr>
        <w:spacing w:after="0" w:line="160"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231F20"/>
        </w:rPr>
        <w:t>We make available on or through our website reports and amendments to those reports that we file with or furnish to the SEC in accordance with the Securities Exchange Act of 1934, as amended. These include our Annual Reports on Form 10-K, our Quarterly Reports on Form 10-Q and our Current Reports on Form 8-K and amendments to these reports. We make this information available on our website free of charge as soon as reasonably practicable after we electronically file the information available with, or furnish it to, the SEC. The SEC also maintains a website at the following address, through which this information is available: http://www.sec.gov.</w:t>
      </w:r>
    </w:p>
    <w:p>
      <w:pPr>
        <w:sectPr>
          <w:pgSz w:w="11880" w:h="15480" w:orient="portrait"/>
          <w:cols w:equalWidth="0" w:num="1">
            <w:col w:w="10760"/>
          </w:cols>
          <w:pgMar w:left="540" w:top="75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760"/>
          </w:cols>
          <w:pgMar w:left="540" w:top="754" w:right="580" w:bottom="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color w:val="231F20"/>
        </w:rPr>
        <w:t>Item 1A. Risk Factors.</w:t>
      </w:r>
    </w:p>
    <w:p>
      <w:pPr>
        <w:spacing w:after="0" w:line="132"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i w:val="1"/>
          <w:iCs w:val="1"/>
          <w:color w:val="231F20"/>
        </w:rPr>
        <w:t>Investing in our common stock involves a high degree of risk. Before you invest in our common stock, you should carefully consider the risks described below together with all of the other information contained in this Annual Report, including our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in these risk factors to our business being harmed will include harm to our business, reputation, financial condition, results of operations, and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 Factors Summary</w:t>
      </w:r>
    </w:p>
    <w:p>
      <w:pPr>
        <w:spacing w:after="0" w:line="132" w:lineRule="exact"/>
        <w:rPr>
          <w:sz w:val="20"/>
          <w:szCs w:val="20"/>
          <w:color w:val="auto"/>
        </w:rPr>
      </w:pPr>
    </w:p>
    <w:p>
      <w:pPr>
        <w:ind w:firstLine="490"/>
        <w:spacing w:after="0" w:line="257" w:lineRule="auto"/>
        <w:rPr>
          <w:sz w:val="20"/>
          <w:szCs w:val="20"/>
          <w:color w:val="auto"/>
        </w:rPr>
      </w:pPr>
      <w:r>
        <w:rPr>
          <w:rFonts w:ascii="Arial" w:cs="Arial" w:eastAsia="Arial" w:hAnsi="Arial"/>
          <w:sz w:val="20"/>
          <w:szCs w:val="20"/>
          <w:i w:val="1"/>
          <w:iCs w:val="1"/>
          <w:color w:val="231F20"/>
        </w:rPr>
        <w:t>Investing in shares of our common stock involves a high degree of risk because our business is subject to numerous risks and uncertainties, as more fully described below. The principal factors and uncertainties that make investing in shares of our common stock risky include, among others:</w:t>
      </w:r>
    </w:p>
    <w:p>
      <w:pPr>
        <w:spacing w:after="0" w:line="77" w:lineRule="exact"/>
        <w:rPr>
          <w:sz w:val="20"/>
          <w:szCs w:val="20"/>
          <w:color w:val="auto"/>
        </w:rPr>
      </w:pPr>
    </w:p>
    <w:p>
      <w:pPr>
        <w:ind w:left="980" w:right="100" w:hanging="490"/>
        <w:spacing w:after="0" w:line="261" w:lineRule="auto"/>
        <w:tabs>
          <w:tab w:leader="none" w:pos="9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spacing w:after="0" w:line="73" w:lineRule="exact"/>
        <w:rPr>
          <w:rFonts w:ascii="Arial" w:cs="Arial" w:eastAsia="Arial" w:hAnsi="Arial"/>
          <w:sz w:val="20"/>
          <w:szCs w:val="20"/>
          <w:color w:val="231F20"/>
        </w:rPr>
      </w:pPr>
    </w:p>
    <w:p>
      <w:pPr>
        <w:ind w:left="980" w:right="220" w:hanging="490"/>
        <w:spacing w:after="0" w:line="264" w:lineRule="auto"/>
        <w:tabs>
          <w:tab w:leader="none" w:pos="980" w:val="left"/>
        </w:tabs>
        <w:numPr>
          <w:ilvl w:val="0"/>
          <w:numId w:val="11"/>
        </w:numPr>
        <w:rPr>
          <w:rFonts w:ascii="Arial" w:cs="Arial" w:eastAsia="Arial" w:hAnsi="Arial"/>
          <w:sz w:val="19"/>
          <w:szCs w:val="19"/>
          <w:color w:val="231F20"/>
        </w:rPr>
      </w:pPr>
      <w:r>
        <w:rPr>
          <w:rFonts w:ascii="Arial" w:cs="Arial" w:eastAsia="Arial" w:hAnsi="Arial"/>
          <w:sz w:val="19"/>
          <w:szCs w:val="19"/>
          <w:color w:val="231F20"/>
        </w:rPr>
        <w:t>We have a pipeline that is primarily composed of early-stage and mid-stage programs, and clinical proof of concept has not yet been established for any of our product candidates. Our ability to advance these molecules into clinical development, and successfully progress them through preclinical, clinical, and regulatory milestones, is highly uncertain. The inherent risks of early-stage drug discovery and development, including challenges in translation from preclinical data to human studies, may prevent us from achieving meaningful clinical results, obtaining regulatory approval, or realizing the value of our pipeline assets.</w:t>
      </w:r>
    </w:p>
    <w:p>
      <w:pPr>
        <w:spacing w:after="0" w:line="71" w:lineRule="exact"/>
        <w:rPr>
          <w:rFonts w:ascii="Arial" w:cs="Arial" w:eastAsia="Arial" w:hAnsi="Arial"/>
          <w:sz w:val="19"/>
          <w:szCs w:val="19"/>
          <w:color w:val="231F20"/>
        </w:rPr>
      </w:pPr>
    </w:p>
    <w:p>
      <w:pPr>
        <w:ind w:left="980" w:right="100" w:hanging="490"/>
        <w:spacing w:after="0" w:line="261" w:lineRule="auto"/>
        <w:tabs>
          <w:tab w:leader="none" w:pos="9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spacing w:after="0" w:line="73" w:lineRule="exact"/>
        <w:rPr>
          <w:rFonts w:ascii="Arial" w:cs="Arial" w:eastAsia="Arial" w:hAnsi="Arial"/>
          <w:sz w:val="20"/>
          <w:szCs w:val="20"/>
          <w:color w:val="231F20"/>
        </w:rPr>
      </w:pPr>
    </w:p>
    <w:p>
      <w:pPr>
        <w:ind w:left="980" w:right="120" w:hanging="490"/>
        <w:spacing w:after="0" w:line="282" w:lineRule="auto"/>
        <w:tabs>
          <w:tab w:leader="none" w:pos="9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If we do not obtain regulatory approval for and successfully commercialize any of our product candidates, or if we experience significant delays in doing so, we may never become profitable.</w:t>
      </w:r>
    </w:p>
    <w:p>
      <w:pPr>
        <w:spacing w:after="0" w:line="53" w:lineRule="exact"/>
        <w:rPr>
          <w:rFonts w:ascii="Arial" w:cs="Arial" w:eastAsia="Arial" w:hAnsi="Arial"/>
          <w:sz w:val="20"/>
          <w:szCs w:val="20"/>
          <w:color w:val="231F20"/>
        </w:rPr>
      </w:pPr>
    </w:p>
    <w:p>
      <w:pPr>
        <w:ind w:left="980" w:hanging="490"/>
        <w:spacing w:after="0" w:line="254" w:lineRule="auto"/>
        <w:tabs>
          <w:tab w:leader="none" w:pos="9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79" w:lineRule="exact"/>
        <w:rPr>
          <w:rFonts w:ascii="Arial" w:cs="Arial" w:eastAsia="Arial" w:hAnsi="Arial"/>
          <w:sz w:val="20"/>
          <w:szCs w:val="20"/>
          <w:color w:val="231F20"/>
        </w:rPr>
      </w:pPr>
    </w:p>
    <w:p>
      <w:pPr>
        <w:ind w:left="980" w:right="440" w:hanging="490"/>
        <w:spacing w:after="0" w:line="282" w:lineRule="auto"/>
        <w:tabs>
          <w:tab w:leader="none" w:pos="9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If we experience delays or difficulties in the enrollment of patients in clinical trials, our clinical development activities and receipt of necessary regulatory approvals could be delayed or prevented.</w:t>
      </w:r>
    </w:p>
    <w:p>
      <w:pPr>
        <w:spacing w:after="0" w:line="53" w:lineRule="exact"/>
        <w:rPr>
          <w:rFonts w:ascii="Arial" w:cs="Arial" w:eastAsia="Arial" w:hAnsi="Arial"/>
          <w:sz w:val="20"/>
          <w:szCs w:val="20"/>
          <w:color w:val="231F20"/>
        </w:rPr>
      </w:pPr>
    </w:p>
    <w:p>
      <w:pPr>
        <w:ind w:left="980" w:right="20" w:hanging="490"/>
        <w:spacing w:after="0" w:line="254" w:lineRule="auto"/>
        <w:tabs>
          <w:tab w:leader="none" w:pos="9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spacing w:after="0" w:line="79" w:lineRule="exact"/>
        <w:rPr>
          <w:rFonts w:ascii="Arial" w:cs="Arial" w:eastAsia="Arial" w:hAnsi="Arial"/>
          <w:sz w:val="20"/>
          <w:szCs w:val="20"/>
          <w:color w:val="231F20"/>
        </w:rPr>
      </w:pPr>
    </w:p>
    <w:p>
      <w:pPr>
        <w:ind w:left="980" w:right="200" w:hanging="490"/>
        <w:spacing w:after="0" w:line="261" w:lineRule="auto"/>
        <w:tabs>
          <w:tab w:leader="none" w:pos="9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Even if any of our product candidates receive regulatory approval, it may fail to achieve the degree of market acceptance by physicians, patients, third-party payors, and others in the medical community necessary for commercial success.</w:t>
      </w:r>
    </w:p>
    <w:p>
      <w:pPr>
        <w:spacing w:after="0" w:line="73" w:lineRule="exact"/>
        <w:rPr>
          <w:rFonts w:ascii="Arial" w:cs="Arial" w:eastAsia="Arial" w:hAnsi="Arial"/>
          <w:sz w:val="20"/>
          <w:szCs w:val="20"/>
          <w:color w:val="231F20"/>
        </w:rPr>
      </w:pPr>
    </w:p>
    <w:p>
      <w:pPr>
        <w:ind w:left="980" w:right="680" w:hanging="490"/>
        <w:spacing w:after="0" w:line="282" w:lineRule="auto"/>
        <w:tabs>
          <w:tab w:leader="none" w:pos="9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We face substantial competition, which may result in others discovering, developing or commercializing products before or more successfully than we do.</w:t>
      </w:r>
    </w:p>
    <w:p>
      <w:pPr>
        <w:spacing w:after="0" w:line="53" w:lineRule="exact"/>
        <w:rPr>
          <w:rFonts w:ascii="Arial" w:cs="Arial" w:eastAsia="Arial" w:hAnsi="Arial"/>
          <w:sz w:val="20"/>
          <w:szCs w:val="20"/>
          <w:color w:val="231F20"/>
        </w:rPr>
      </w:pPr>
    </w:p>
    <w:p>
      <w:pPr>
        <w:ind w:left="980" w:right="320" w:hanging="490"/>
        <w:spacing w:after="0" w:line="282" w:lineRule="auto"/>
        <w:tabs>
          <w:tab w:leader="none" w:pos="9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We operate with a small team and our future success depends on our ability to retain key executives and to attract, retain and motivate qualified personnel.</w:t>
      </w:r>
    </w:p>
    <w:p>
      <w:pPr>
        <w:spacing w:after="0" w:line="53" w:lineRule="exact"/>
        <w:rPr>
          <w:rFonts w:ascii="Arial" w:cs="Arial" w:eastAsia="Arial" w:hAnsi="Arial"/>
          <w:sz w:val="20"/>
          <w:szCs w:val="20"/>
          <w:color w:val="231F20"/>
        </w:rPr>
      </w:pPr>
    </w:p>
    <w:p>
      <w:pPr>
        <w:ind w:left="980" w:right="40" w:hanging="490"/>
        <w:spacing w:after="0" w:line="261" w:lineRule="auto"/>
        <w:tabs>
          <w:tab w:leader="none" w:pos="9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780"/>
          </w:cols>
          <w:pgMar w:left="540" w:top="746" w:right="560" w:bottom="0" w:gutter="0" w:footer="0" w:header="0"/>
          <w:type w:val="continuous"/>
        </w:sectPr>
      </w:pPr>
    </w:p>
    <w:bookmarkStart w:id="24" w:name="page25"/>
    <w:bookmarkEnd w:id="24"/>
    <w:p>
      <w:pPr>
        <w:ind w:left="980" w:right="60" w:hanging="490"/>
        <w:spacing w:after="0" w:line="250" w:lineRule="auto"/>
        <w:tabs>
          <w:tab w:leader="none" w:pos="9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Our rights to develop and commercialize our technology and our other product candidates are subject, in large part, to the terms and conditions of licenses granted to us by others, such as Anacor Pharmaceuticals, Inc. (a wholly owned subsidiary of Pfizer) (“Anacor”). If we fail to comply with our obligations in the agreements under which we in-license or acquire development or commercialization rights to products, technology, or data from third parties, we could lose such rights that are important to our business.</w:t>
      </w:r>
    </w:p>
    <w:p>
      <w:pPr>
        <w:spacing w:after="0" w:line="85" w:lineRule="exact"/>
        <w:rPr>
          <w:rFonts w:ascii="Arial" w:cs="Arial" w:eastAsia="Arial" w:hAnsi="Arial"/>
          <w:sz w:val="20"/>
          <w:szCs w:val="20"/>
          <w:color w:val="231F20"/>
        </w:rPr>
      </w:pPr>
    </w:p>
    <w:p>
      <w:pPr>
        <w:ind w:left="980" w:right="140" w:hanging="490"/>
        <w:spacing w:after="0" w:line="250" w:lineRule="auto"/>
        <w:tabs>
          <w:tab w:leader="none" w:pos="9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85" w:lineRule="exact"/>
        <w:rPr>
          <w:rFonts w:ascii="Arial" w:cs="Arial" w:eastAsia="Arial" w:hAnsi="Arial"/>
          <w:sz w:val="20"/>
          <w:szCs w:val="20"/>
          <w:color w:val="231F20"/>
        </w:rPr>
      </w:pPr>
    </w:p>
    <w:p>
      <w:pPr>
        <w:ind w:left="980" w:hanging="490"/>
        <w:spacing w:after="0" w:line="282" w:lineRule="auto"/>
        <w:tabs>
          <w:tab w:leader="none" w:pos="9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We may not realize the expected benefits from our business restructuring and workforce reduction and we may incur additional costs or other difficulties.</w:t>
      </w:r>
    </w:p>
    <w:p>
      <w:pPr>
        <w:spacing w:after="0" w:line="53" w:lineRule="exact"/>
        <w:rPr>
          <w:rFonts w:ascii="Arial" w:cs="Arial" w:eastAsia="Arial" w:hAnsi="Arial"/>
          <w:sz w:val="20"/>
          <w:szCs w:val="20"/>
          <w:color w:val="231F20"/>
        </w:rPr>
      </w:pPr>
    </w:p>
    <w:p>
      <w:pPr>
        <w:ind w:left="980" w:right="180" w:hanging="490"/>
        <w:spacing w:after="0" w:line="310" w:lineRule="auto"/>
        <w:tabs>
          <w:tab w:leader="none" w:pos="980" w:val="left"/>
        </w:tabs>
        <w:numPr>
          <w:ilvl w:val="0"/>
          <w:numId w:val="12"/>
        </w:numPr>
        <w:rPr>
          <w:rFonts w:ascii="Arial" w:cs="Arial" w:eastAsia="Arial" w:hAnsi="Arial"/>
          <w:sz w:val="19"/>
          <w:szCs w:val="19"/>
          <w:color w:val="231F20"/>
        </w:rPr>
      </w:pPr>
      <w:r>
        <w:rPr>
          <w:rFonts w:ascii="Arial" w:cs="Arial" w:eastAsia="Arial" w:hAnsi="Arial"/>
          <w:sz w:val="19"/>
          <w:szCs w:val="19"/>
          <w:color w:val="231F20"/>
        </w:rPr>
        <w:t>If we are not able to obtain, or if there are delays in obtaining, required regulatory approvals, we will not be able to commercialize our product candidates, and our ability to generate revenue will be materially impaired.</w:t>
      </w:r>
    </w:p>
    <w:p>
      <w:pPr>
        <w:spacing w:after="0" w:line="29" w:lineRule="exact"/>
        <w:rPr>
          <w:rFonts w:ascii="Arial" w:cs="Arial" w:eastAsia="Arial" w:hAnsi="Arial"/>
          <w:sz w:val="19"/>
          <w:szCs w:val="19"/>
          <w:color w:val="231F20"/>
        </w:rPr>
      </w:pPr>
    </w:p>
    <w:p>
      <w:pPr>
        <w:ind w:left="980" w:hanging="490"/>
        <w:spacing w:after="0"/>
        <w:tabs>
          <w:tab w:leader="none" w:pos="9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The trading price of our common stock has been and may continue to be volatile.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Risks Related to Our Financial Position and Capital Needs</w:t>
      </w:r>
    </w:p>
    <w:p>
      <w:pPr>
        <w:spacing w:after="0" w:line="128"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b w:val="1"/>
          <w:bCs w:val="1"/>
          <w:i w:val="1"/>
          <w:iCs w:val="1"/>
          <w:color w:val="231F20"/>
        </w:rPr>
        <w:t>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spacing w:after="0" w:line="47"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231F20"/>
        </w:rPr>
        <w:t>Biopharmaceutical product development is a highly speculative undertaking and involves a substantial degree of risk. We are a clinical-stage biopharmaceutical company with a limited operating history upon which you can evaluate our business and prospects. We currently have no products approved for commercial sale, have not generated any revenue from the sale of products and have incurred losses in each year since our inception in 2017.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193" w:lineRule="exact"/>
        <w:rPr>
          <w:sz w:val="20"/>
          <w:szCs w:val="20"/>
          <w:color w:val="auto"/>
        </w:rPr>
      </w:pPr>
    </w:p>
    <w:p>
      <w:pPr>
        <w:ind w:right="80" w:firstLine="490"/>
        <w:spacing w:after="0" w:line="244" w:lineRule="auto"/>
        <w:rPr>
          <w:sz w:val="20"/>
          <w:szCs w:val="20"/>
          <w:color w:val="auto"/>
        </w:rPr>
      </w:pPr>
      <w:r>
        <w:rPr>
          <w:rFonts w:ascii="Arial" w:cs="Arial" w:eastAsia="Arial" w:hAnsi="Arial"/>
          <w:sz w:val="20"/>
          <w:szCs w:val="20"/>
          <w:color w:val="231F20"/>
        </w:rPr>
        <w:t>For example, in August 2024, we announced topline results from the Phase 2 part of the EBO-301 Phase 2/3 study evaluating epetraborole on top of OBR in treatment-refractory MAC lung disease. The Phase 2 part of the study met its primary objective of demonstrating the potential validation of a novel PRO tool and a higher PRO-based clinical response rate in the epetraborole + OBR arm (39.5%) vs. placebo + OBR (25.0%; treatment difference 13.9%, p=0.19). However, sputum culture conversion at Month 6, a key secondary endpoint, was similar between treatment arms (13.2% in epetraborole + OBR vs. 10.0% placebo + OBR; treatment difference 3.4%, p=0.64). In May 2025, we announced that the truncated Phase 3 portion of the EBO-301 study did not meet its primary endpoint of demonstrating an improvement on the QOL-B respiratory domain PRO instrument (change from baseline to month 6), though epetraborole was generally well tolerated in the trial. Based on these results, we decided to suspend further development of epetraborole for treatment-refractory MAC lung disease.</w:t>
      </w:r>
    </w:p>
    <w:p>
      <w:pPr>
        <w:spacing w:after="0" w:line="202"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231F20"/>
        </w:rPr>
        <w:t>Our net loss was $35.2 million and $51.3 million for the years ended December 31, 2025 and 2024, respectively. As of December 31, 2025, we had an accumulated deficit of $241.0 million. We have funded our operations to date primarily with proceeds from our underwritten offering (the “Underwritten Offering”), our “at-the-market” equity offering program (“ATM Offering”), our IPO, and the sale of our redeemable convertible preferred stock. We have devoted substantially all of our financial resources and efforts to research and development, including preclinical and nonclinical studies, manufacturing, clinical trials, and general and administrative costs associated with our operations. We expect to continue to incur significant expenses and operating losses over the next several years. Our net losses may fluctuate significantly from quarter to quarter and year to year.</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We anticipate that our expenses will increase substantially as we:</w:t>
      </w:r>
    </w:p>
    <w:p>
      <w:pPr>
        <w:spacing w:after="0" w:line="134" w:lineRule="exact"/>
        <w:rPr>
          <w:sz w:val="20"/>
          <w:szCs w:val="20"/>
          <w:color w:val="auto"/>
        </w:rPr>
      </w:pPr>
    </w:p>
    <w:p>
      <w:pPr>
        <w:ind w:left="980" w:hanging="490"/>
        <w:spacing w:after="0"/>
        <w:tabs>
          <w:tab w:leader="none" w:pos="980" w:val="left"/>
        </w:tabs>
        <w:numPr>
          <w:ilvl w:val="0"/>
          <w:numId w:val="13"/>
        </w:numPr>
        <w:rPr>
          <w:rFonts w:ascii="Arial" w:cs="Arial" w:eastAsia="Arial" w:hAnsi="Arial"/>
          <w:sz w:val="20"/>
          <w:szCs w:val="20"/>
          <w:color w:val="231F20"/>
        </w:rPr>
      </w:pPr>
      <w:r>
        <w:rPr>
          <w:rFonts w:ascii="Arial" w:cs="Arial" w:eastAsia="Arial" w:hAnsi="Arial"/>
          <w:sz w:val="20"/>
          <w:szCs w:val="20"/>
          <w:color w:val="231F20"/>
        </w:rPr>
        <w:t>continue our ongoing and planned preclinical, nonclinical, and clinical development of our product candidates;</w:t>
      </w:r>
    </w:p>
    <w:p>
      <w:pPr>
        <w:spacing w:after="0" w:line="133" w:lineRule="exact"/>
        <w:rPr>
          <w:rFonts w:ascii="Arial" w:cs="Arial" w:eastAsia="Arial" w:hAnsi="Arial"/>
          <w:sz w:val="20"/>
          <w:szCs w:val="20"/>
          <w:color w:val="231F20"/>
        </w:rPr>
      </w:pPr>
    </w:p>
    <w:p>
      <w:pPr>
        <w:ind w:left="980" w:right="300" w:hanging="490"/>
        <w:spacing w:after="0" w:line="282" w:lineRule="auto"/>
        <w:tabs>
          <w:tab w:leader="none" w:pos="980" w:val="left"/>
        </w:tabs>
        <w:numPr>
          <w:ilvl w:val="0"/>
          <w:numId w:val="13"/>
        </w:numPr>
        <w:rPr>
          <w:rFonts w:ascii="Arial" w:cs="Arial" w:eastAsia="Arial" w:hAnsi="Arial"/>
          <w:sz w:val="20"/>
          <w:szCs w:val="20"/>
          <w:color w:val="231F20"/>
        </w:rPr>
      </w:pPr>
      <w:r>
        <w:rPr>
          <w:rFonts w:ascii="Arial" w:cs="Arial" w:eastAsia="Arial" w:hAnsi="Arial"/>
          <w:sz w:val="20"/>
          <w:szCs w:val="20"/>
          <w:color w:val="231F20"/>
        </w:rPr>
        <w:t>initiate preclinical and nonclinical studies and clinical trials for product candidates that we may pursue in the future;</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13"/>
        </w:numPr>
        <w:rPr>
          <w:rFonts w:ascii="Arial" w:cs="Arial" w:eastAsia="Arial" w:hAnsi="Arial"/>
          <w:sz w:val="20"/>
          <w:szCs w:val="20"/>
          <w:color w:val="231F20"/>
        </w:rPr>
      </w:pPr>
      <w:r>
        <w:rPr>
          <w:rFonts w:ascii="Arial" w:cs="Arial" w:eastAsia="Arial" w:hAnsi="Arial"/>
          <w:sz w:val="20"/>
          <w:szCs w:val="20"/>
          <w:color w:val="231F20"/>
        </w:rPr>
        <w:t>seek to discover and develop future product candidates;</w:t>
      </w:r>
    </w:p>
    <w:p>
      <w:pPr>
        <w:sectPr>
          <w:pgSz w:w="11880" w:h="15480" w:orient="portrait"/>
          <w:cols w:equalWidth="0" w:num="1">
            <w:col w:w="10780"/>
          </w:cols>
          <w:pgMar w:left="540" w:top="764" w:right="56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780"/>
          </w:cols>
          <w:pgMar w:left="540" w:top="764" w:right="560" w:bottom="0" w:gutter="0" w:footer="0" w:header="0"/>
          <w:type w:val="continuous"/>
        </w:sectPr>
      </w:pPr>
    </w:p>
    <w:bookmarkStart w:id="25" w:name="page26"/>
    <w:bookmarkEnd w:id="25"/>
    <w:p>
      <w:pPr>
        <w:ind w:left="980" w:hanging="490"/>
        <w:spacing w:after="0"/>
        <w:tabs>
          <w:tab w:leader="none" w:pos="98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seek regulatory approvals for any of our product candidates that successfully complete clinical trials;</w:t>
      </w:r>
    </w:p>
    <w:p>
      <w:pPr>
        <w:spacing w:after="0" w:line="133" w:lineRule="exact"/>
        <w:rPr>
          <w:rFonts w:ascii="Arial" w:cs="Arial" w:eastAsia="Arial" w:hAnsi="Arial"/>
          <w:sz w:val="20"/>
          <w:szCs w:val="20"/>
          <w:color w:val="231F20"/>
        </w:rPr>
      </w:pPr>
    </w:p>
    <w:p>
      <w:pPr>
        <w:ind w:left="980" w:right="180" w:hanging="490"/>
        <w:spacing w:after="0" w:line="261" w:lineRule="auto"/>
        <w:tabs>
          <w:tab w:leader="none" w:pos="98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ultimately establish sales, marketing, and distribution infrastructure and scale up external manufacturing capabilities if we move into later-stage clinical trials for, and seek to commercialize, any product candidate for which we may obtain regulatory approval and intend to commercialize on our own;</w:t>
      </w:r>
    </w:p>
    <w:p>
      <w:pPr>
        <w:spacing w:after="0" w:line="73" w:lineRule="exact"/>
        <w:rPr>
          <w:rFonts w:ascii="Arial" w:cs="Arial" w:eastAsia="Arial" w:hAnsi="Arial"/>
          <w:sz w:val="20"/>
          <w:szCs w:val="20"/>
          <w:color w:val="231F20"/>
        </w:rPr>
      </w:pPr>
    </w:p>
    <w:p>
      <w:pPr>
        <w:ind w:left="980" w:hanging="490"/>
        <w:spacing w:after="0"/>
        <w:tabs>
          <w:tab w:leader="none" w:pos="98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maintain, expand, and protect our intellectual property portfolio;</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hire additional clinical, scientific, chemistry, manufacturing and controls personnel;</w:t>
      </w:r>
    </w:p>
    <w:p>
      <w:pPr>
        <w:spacing w:after="0" w:line="133" w:lineRule="exact"/>
        <w:rPr>
          <w:rFonts w:ascii="Arial" w:cs="Arial" w:eastAsia="Arial" w:hAnsi="Arial"/>
          <w:sz w:val="20"/>
          <w:szCs w:val="20"/>
          <w:color w:val="231F20"/>
        </w:rPr>
      </w:pPr>
    </w:p>
    <w:p>
      <w:pPr>
        <w:ind w:left="980" w:right="760" w:hanging="490"/>
        <w:spacing w:after="0" w:line="282" w:lineRule="auto"/>
        <w:tabs>
          <w:tab w:leader="none" w:pos="98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add operational, financial, management, and compliance information systems and personnel, including personnel to support our product development and any future commercialization efforts; and</w:t>
      </w:r>
    </w:p>
    <w:p>
      <w:pPr>
        <w:spacing w:after="0" w:line="53" w:lineRule="exact"/>
        <w:rPr>
          <w:rFonts w:ascii="Arial" w:cs="Arial" w:eastAsia="Arial" w:hAnsi="Arial"/>
          <w:sz w:val="20"/>
          <w:szCs w:val="20"/>
          <w:color w:val="231F20"/>
        </w:rPr>
      </w:pPr>
    </w:p>
    <w:p>
      <w:pPr>
        <w:ind w:left="980" w:right="760" w:hanging="490"/>
        <w:spacing w:after="0" w:line="282" w:lineRule="auto"/>
        <w:tabs>
          <w:tab w:leader="none" w:pos="98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incur legal, accounting, information systems, and other expenses associated with operating as a public company.</w:t>
      </w:r>
    </w:p>
    <w:p>
      <w:pPr>
        <w:spacing w:after="0" w:line="160"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231F20"/>
        </w:rPr>
        <w:t>To become and remain profitable, we must succeed in developing and eventually commercializing drugs that generate significant revenue. This will require us to be successful in a range of challenging activities, including completing preclinical and nonclinical studies and clinical trials of our product candidates, obtaining regulatory approval, manufacturing, marketing, and selling any products for which we may obtain regulatory approval, as well as discovering and developing additional product candidates. We are only in the preliminary stages of most of these activities. We may never succeed in these activities and, even if we do, may never generate revenues that are significant enough to achieve profitability.</w:t>
      </w:r>
    </w:p>
    <w:p>
      <w:pPr>
        <w:spacing w:after="0" w:line="193" w:lineRule="exact"/>
        <w:rPr>
          <w:sz w:val="20"/>
          <w:szCs w:val="20"/>
          <w:color w:val="auto"/>
        </w:rPr>
      </w:pPr>
    </w:p>
    <w:p>
      <w:pPr>
        <w:ind w:right="360" w:firstLine="490"/>
        <w:spacing w:after="0" w:line="250" w:lineRule="auto"/>
        <w:rPr>
          <w:sz w:val="20"/>
          <w:szCs w:val="20"/>
          <w:color w:val="auto"/>
        </w:rPr>
      </w:pPr>
      <w:r>
        <w:rPr>
          <w:rFonts w:ascii="Arial" w:cs="Arial" w:eastAsia="Arial" w:hAnsi="Arial"/>
          <w:sz w:val="20"/>
          <w:szCs w:val="20"/>
          <w:color w:val="231F20"/>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further delays in the initiation and completion of our clinical trials or the development of any of our product candidates, our expenses could increase.</w:t>
      </w:r>
    </w:p>
    <w:p>
      <w:pPr>
        <w:spacing w:after="0" w:line="192" w:lineRule="exact"/>
        <w:rPr>
          <w:sz w:val="20"/>
          <w:szCs w:val="20"/>
          <w:color w:val="auto"/>
        </w:rPr>
      </w:pPr>
    </w:p>
    <w:p>
      <w:pPr>
        <w:jc w:val="both"/>
        <w:ind w:right="80" w:firstLine="490"/>
        <w:spacing w:after="0" w:line="254" w:lineRule="auto"/>
        <w:rPr>
          <w:sz w:val="20"/>
          <w:szCs w:val="20"/>
          <w:color w:val="auto"/>
        </w:rPr>
      </w:pPr>
      <w:r>
        <w:rPr>
          <w:rFonts w:ascii="Arial" w:cs="Arial" w:eastAsia="Arial" w:hAnsi="Arial"/>
          <w:sz w:val="20"/>
          <w:szCs w:val="20"/>
          <w:color w:val="231F20"/>
        </w:rPr>
        <w:t>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p>
    <w:p>
      <w:pPr>
        <w:spacing w:after="0" w:line="310"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b w:val="1"/>
          <w:bCs w:val="1"/>
          <w:i w:val="1"/>
          <w:iCs w:val="1"/>
          <w:color w:val="231F20"/>
        </w:rPr>
        <w:t>Our limited operating history may make it difficult for you to evaluate the success of our business to date and to assess our future viability.</w:t>
      </w:r>
    </w:p>
    <w:p>
      <w:pPr>
        <w:spacing w:after="0" w:line="22"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231F20"/>
        </w:rPr>
        <w:t>We commenced active operations in November 2019, and our operations to date have been largely focused on raising capital, developing epetraborole and other product candidates, broadening our expertise in the development of epetraborole, and other product candidates, undertaking preclinical and nonclinical studies, manufacturing clinical trial material, preparing for and initiating clinical trials, and general and administrative operations. As a company, we have not yet demonstrated an ability to successfully complete pivotal clinical trials, obtain regulatory approvals, manufacture a commercial product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w:t>
      </w:r>
    </w:p>
    <w:p>
      <w:pPr>
        <w:spacing w:after="0" w:line="194"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231F20"/>
        </w:rPr>
        <w:t>We have and may encounter unforeseen expenses, difficulties, complications, delays and other known or unknown factors in achieving our business objectives. For example, in May 2025, we decided to discontinue our development of epetraborole for treatment-refractory MAC lung disease following the failure of the truncated Phase 3 portion of the EBO-301 study to meet its primary endpoint.</w:t>
      </w:r>
    </w:p>
    <w:p>
      <w:pPr>
        <w:spacing w:after="0" w:line="186" w:lineRule="exact"/>
        <w:rPr>
          <w:sz w:val="20"/>
          <w:szCs w:val="20"/>
          <w:color w:val="auto"/>
        </w:rPr>
      </w:pPr>
    </w:p>
    <w:p>
      <w:pPr>
        <w:ind w:right="220" w:firstLine="490"/>
        <w:spacing w:after="0" w:line="310" w:lineRule="auto"/>
        <w:rPr>
          <w:sz w:val="20"/>
          <w:szCs w:val="20"/>
          <w:color w:val="auto"/>
        </w:rPr>
      </w:pPr>
      <w:r>
        <w:rPr>
          <w:rFonts w:ascii="Arial" w:cs="Arial" w:eastAsia="Arial" w:hAnsi="Arial"/>
          <w:sz w:val="19"/>
          <w:szCs w:val="19"/>
          <w:color w:val="231F20"/>
        </w:rPr>
        <w:t>In addition, we will need to transition successfully at some point from a company with a research and development focus to a company capable of supporting commercial activities. We may not be successful in such a transition.</w:t>
      </w:r>
    </w:p>
    <w:p>
      <w:pPr>
        <w:spacing w:after="0" w:line="136" w:lineRule="exact"/>
        <w:rPr>
          <w:sz w:val="20"/>
          <w:szCs w:val="20"/>
          <w:color w:val="auto"/>
        </w:rPr>
      </w:pPr>
    </w:p>
    <w:p>
      <w:pPr>
        <w:jc w:val="both"/>
        <w:ind w:right="180" w:firstLine="490"/>
        <w:spacing w:after="0" w:line="261" w:lineRule="auto"/>
        <w:rPr>
          <w:sz w:val="20"/>
          <w:szCs w:val="20"/>
          <w:color w:val="auto"/>
        </w:rPr>
      </w:pPr>
      <w:r>
        <w:rPr>
          <w:rFonts w:ascii="Arial" w:cs="Arial" w:eastAsia="Arial" w:hAnsi="Arial"/>
          <w:sz w:val="20"/>
          <w:szCs w:val="20"/>
          <w:color w:val="231F20"/>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800"/>
          </w:cols>
          <w:pgMar w:left="540" w:top="764" w:right="540" w:bottom="0" w:gutter="0" w:footer="0" w:header="0"/>
          <w:type w:val="continuous"/>
        </w:sectPr>
      </w:pPr>
    </w:p>
    <w:bookmarkStart w:id="26" w:name="page27"/>
    <w:bookmarkEnd w:id="26"/>
    <w:p>
      <w:pPr>
        <w:jc w:val="both"/>
        <w:ind w:right="140"/>
        <w:spacing w:after="0" w:line="264" w:lineRule="auto"/>
        <w:rPr>
          <w:sz w:val="20"/>
          <w:szCs w:val="20"/>
          <w:color w:val="auto"/>
        </w:rPr>
      </w:pPr>
      <w:r>
        <w:rPr>
          <w:rFonts w:ascii="Arial" w:cs="Arial" w:eastAsia="Arial" w:hAnsi="Arial"/>
          <w:sz w:val="20"/>
          <w:szCs w:val="20"/>
          <w:b w:val="1"/>
          <w:bCs w:val="1"/>
          <w:i w:val="1"/>
          <w:iCs w:val="1"/>
          <w:color w:val="231F20"/>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spacing w:after="0" w:line="47"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231F20"/>
        </w:rPr>
        <w:t>We believe that our existing cash, cash equivalents, and investments will enable us to fund our operating expenses and capital expenditure requirements for at least the next 12 months. However, in addition to the $40.0 million financing completed in March 2026, we will need to obtain substantial additional funding in connection with our continuing operations and planned activities. Our future capital requirements will depend on many factors, including:</w:t>
      </w:r>
    </w:p>
    <w:p>
      <w:pPr>
        <w:spacing w:after="0" w:line="80" w:lineRule="exact"/>
        <w:rPr>
          <w:sz w:val="20"/>
          <w:szCs w:val="20"/>
          <w:color w:val="auto"/>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timing, progress, and results of our ongoing and future clinical trials of our product candidates;</w:t>
      </w:r>
    </w:p>
    <w:p>
      <w:pPr>
        <w:spacing w:after="0" w:line="133" w:lineRule="exact"/>
        <w:rPr>
          <w:rFonts w:ascii="Arial" w:cs="Arial" w:eastAsia="Arial" w:hAnsi="Arial"/>
          <w:sz w:val="20"/>
          <w:szCs w:val="20"/>
          <w:color w:val="231F20"/>
        </w:rPr>
      </w:pPr>
    </w:p>
    <w:p>
      <w:pPr>
        <w:ind w:left="980" w:hanging="490"/>
        <w:spacing w:after="0" w:line="282" w:lineRule="auto"/>
        <w:tabs>
          <w:tab w:leader="none" w:pos="9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costs, timing and outcome of regulatory review of any of our product candidates that may complete or be in the process of completing clinical development;</w:t>
      </w:r>
    </w:p>
    <w:p>
      <w:pPr>
        <w:spacing w:after="0" w:line="53" w:lineRule="exact"/>
        <w:rPr>
          <w:rFonts w:ascii="Arial" w:cs="Arial" w:eastAsia="Arial" w:hAnsi="Arial"/>
          <w:sz w:val="20"/>
          <w:szCs w:val="20"/>
          <w:color w:val="231F20"/>
        </w:rPr>
      </w:pPr>
    </w:p>
    <w:p>
      <w:pPr>
        <w:ind w:left="980" w:right="640" w:hanging="490"/>
        <w:spacing w:after="0" w:line="282" w:lineRule="auto"/>
        <w:tabs>
          <w:tab w:leader="none" w:pos="9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scope, progress, results and costs of identifying, obtaining, and conducting preclinical development, laboratory testing and clinical trials of future product candidates that we may pursue;</w:t>
      </w:r>
    </w:p>
    <w:p>
      <w:pPr>
        <w:spacing w:after="0" w:line="53" w:lineRule="exact"/>
        <w:rPr>
          <w:rFonts w:ascii="Arial" w:cs="Arial" w:eastAsia="Arial" w:hAnsi="Arial"/>
          <w:sz w:val="20"/>
          <w:szCs w:val="20"/>
          <w:color w:val="231F20"/>
        </w:rPr>
      </w:pPr>
    </w:p>
    <w:p>
      <w:pPr>
        <w:ind w:left="980" w:right="360" w:hanging="490"/>
        <w:spacing w:after="0" w:line="282" w:lineRule="auto"/>
        <w:tabs>
          <w:tab w:leader="none" w:pos="9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cost and timetable of manufacturing processes for development, clinical trials and potential commercial use;</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number and development requirements of future product candidates that we may pursue;</w:t>
      </w:r>
    </w:p>
    <w:p>
      <w:pPr>
        <w:spacing w:after="0" w:line="133" w:lineRule="exact"/>
        <w:rPr>
          <w:rFonts w:ascii="Arial" w:cs="Arial" w:eastAsia="Arial" w:hAnsi="Arial"/>
          <w:sz w:val="20"/>
          <w:szCs w:val="20"/>
          <w:color w:val="231F20"/>
        </w:rPr>
      </w:pPr>
    </w:p>
    <w:p>
      <w:pPr>
        <w:ind w:left="980" w:right="540" w:hanging="490"/>
        <w:spacing w:after="0" w:line="282" w:lineRule="auto"/>
        <w:tabs>
          <w:tab w:leader="none" w:pos="9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amount of funding that we receive under our non-dilutive funding opportunities, including government awards that we may apply for;</w:t>
      </w:r>
    </w:p>
    <w:p>
      <w:pPr>
        <w:spacing w:after="0" w:line="53" w:lineRule="exact"/>
        <w:rPr>
          <w:rFonts w:ascii="Arial" w:cs="Arial" w:eastAsia="Arial" w:hAnsi="Arial"/>
          <w:sz w:val="20"/>
          <w:szCs w:val="20"/>
          <w:color w:val="231F20"/>
        </w:rPr>
      </w:pPr>
    </w:p>
    <w:p>
      <w:pPr>
        <w:ind w:left="980" w:right="160" w:hanging="490"/>
        <w:spacing w:after="0" w:line="282" w:lineRule="auto"/>
        <w:tabs>
          <w:tab w:leader="none" w:pos="9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costs and timing of future commercialization activities, including product manufacturing, marketing, sales, and distribution, for any product candidates that receive regulatory approval;</w:t>
      </w:r>
    </w:p>
    <w:p>
      <w:pPr>
        <w:spacing w:after="0" w:line="53" w:lineRule="exact"/>
        <w:rPr>
          <w:rFonts w:ascii="Arial" w:cs="Arial" w:eastAsia="Arial" w:hAnsi="Arial"/>
          <w:sz w:val="20"/>
          <w:szCs w:val="20"/>
          <w:color w:val="231F20"/>
        </w:rPr>
      </w:pPr>
    </w:p>
    <w:p>
      <w:pPr>
        <w:ind w:left="980" w:right="740" w:hanging="490"/>
        <w:spacing w:after="0" w:line="282" w:lineRule="auto"/>
        <w:tabs>
          <w:tab w:leader="none" w:pos="9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pricing and revenue, if any, received from commercial sales of any product candidates that receive regulatory approval;</w:t>
      </w:r>
    </w:p>
    <w:p>
      <w:pPr>
        <w:spacing w:after="0" w:line="53" w:lineRule="exact"/>
        <w:rPr>
          <w:rFonts w:ascii="Arial" w:cs="Arial" w:eastAsia="Arial" w:hAnsi="Arial"/>
          <w:sz w:val="20"/>
          <w:szCs w:val="20"/>
          <w:color w:val="231F20"/>
        </w:rPr>
      </w:pPr>
    </w:p>
    <w:p>
      <w:pPr>
        <w:ind w:left="980" w:right="420" w:hanging="490"/>
        <w:spacing w:after="0" w:line="282" w:lineRule="auto"/>
        <w:tabs>
          <w:tab w:leader="none" w:pos="9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costs and timing of preparing, filing and prosecuting patent applications, maintaining and enforcing our intellectual property rights, and defending any intellectual property-related claims;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costs of operating as a public company;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extent to which we acquire or in-license other product candidates and technologies.</w:t>
      </w:r>
    </w:p>
    <w:p>
      <w:pPr>
        <w:spacing w:after="0" w:line="240"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231F20"/>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any future commercialization efforts.</w:t>
      </w:r>
    </w:p>
    <w:p>
      <w:pPr>
        <w:spacing w:after="0" w:line="326" w:lineRule="exact"/>
        <w:rPr>
          <w:sz w:val="20"/>
          <w:szCs w:val="20"/>
          <w:color w:val="auto"/>
        </w:rPr>
      </w:pPr>
    </w:p>
    <w:p>
      <w:pPr>
        <w:ind w:right="800"/>
        <w:spacing w:after="0" w:line="289" w:lineRule="auto"/>
        <w:rPr>
          <w:sz w:val="20"/>
          <w:szCs w:val="20"/>
          <w:color w:val="auto"/>
        </w:rPr>
      </w:pPr>
      <w:r>
        <w:rPr>
          <w:rFonts w:ascii="Arial" w:cs="Arial" w:eastAsia="Arial" w:hAnsi="Arial"/>
          <w:sz w:val="20"/>
          <w:szCs w:val="20"/>
          <w:b w:val="1"/>
          <w:bCs w:val="1"/>
          <w:i w:val="1"/>
          <w:iCs w:val="1"/>
          <w:color w:val="231F20"/>
        </w:rPr>
        <w:t>Raising additional capital may cause dilution to our stockholders, restrict our operations or require us to relinquish rights to our technologies or to any of our product candidates.</w:t>
      </w:r>
    </w:p>
    <w:p>
      <w:pPr>
        <w:spacing w:after="0" w:line="22" w:lineRule="exact"/>
        <w:rPr>
          <w:sz w:val="20"/>
          <w:szCs w:val="20"/>
          <w:color w:val="auto"/>
        </w:rPr>
      </w:pPr>
    </w:p>
    <w:p>
      <w:pPr>
        <w:ind w:right="120" w:firstLine="490"/>
        <w:spacing w:after="0" w:line="248" w:lineRule="auto"/>
        <w:rPr>
          <w:sz w:val="20"/>
          <w:szCs w:val="20"/>
          <w:color w:val="auto"/>
        </w:rPr>
      </w:pPr>
      <w:r>
        <w:rPr>
          <w:rFonts w:ascii="Arial" w:cs="Arial" w:eastAsia="Arial" w:hAnsi="Arial"/>
          <w:sz w:val="20"/>
          <w:szCs w:val="20"/>
          <w:color w:val="231F20"/>
        </w:rPr>
        <w:t>Until such time, if ever, as we can generate substantial product revenue, we expect to finance our cash needs through a combination of equity offerings and debt financings.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ectPr>
          <w:pgSz w:w="11880" w:h="15480" w:orient="portrait"/>
          <w:cols w:equalWidth="0" w:num="1">
            <w:col w:w="10760"/>
          </w:cols>
          <w:pgMar w:left="540" w:top="75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760"/>
          </w:cols>
          <w:pgMar w:left="540" w:top="754" w:right="580" w:bottom="0" w:gutter="0" w:footer="0" w:header="0"/>
          <w:type w:val="continuous"/>
        </w:sectPr>
      </w:pPr>
    </w:p>
    <w:bookmarkStart w:id="27" w:name="page28"/>
    <w:bookmarkEnd w:id="27"/>
    <w:p>
      <w:pPr>
        <w:ind w:right="20" w:firstLine="490"/>
        <w:spacing w:after="0" w:line="248" w:lineRule="auto"/>
        <w:rPr>
          <w:sz w:val="20"/>
          <w:szCs w:val="20"/>
          <w:color w:val="auto"/>
        </w:rPr>
      </w:pPr>
      <w:r>
        <w:rPr>
          <w:rFonts w:ascii="Arial" w:cs="Arial" w:eastAsia="Arial" w:hAnsi="Arial"/>
          <w:sz w:val="20"/>
          <w:szCs w:val="20"/>
          <w:color w:val="231F20"/>
        </w:rPr>
        <w:t>If we raise additional funds through collaborations, strategic alliances or marketing, distribution or licensing arrangements with third parties, we may be required to relinquish valuable rights to our technologies, future revenue streams, research programs or any product candidates, or to grant licenses on terms that may not be favorable to us. If we are unable to raise additional funds through equity or debt financings when needed, we may be required to delay, limit, reduce or terminate our development of our product candidates or future commercialization efforts or grant rights to a third party to develop and market product candidates that we would otherwise prefer to develop and market ourselves.</w:t>
      </w:r>
    </w:p>
    <w:p>
      <w:pPr>
        <w:spacing w:after="0" w:line="318"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b w:val="1"/>
          <w:bCs w:val="1"/>
          <w:i w:val="1"/>
          <w:iCs w:val="1"/>
          <w:color w:val="231F20"/>
        </w:rPr>
        <w:t>We have a contractual commitment to develop epetraborole for global health initiatives, which may affect our ability to develop and commercialize epetraborole in certain countries and may impact our intellectual property rights. Our strategy for our global health initiatives depends on receiving non-dilutive funding, and we as a company have limited experience with this strategy.</w:t>
      </w:r>
    </w:p>
    <w:p>
      <w:pPr>
        <w:spacing w:after="0" w:line="55" w:lineRule="exact"/>
        <w:rPr>
          <w:sz w:val="20"/>
          <w:szCs w:val="20"/>
          <w:color w:val="auto"/>
        </w:rPr>
      </w:pPr>
    </w:p>
    <w:p>
      <w:pPr>
        <w:ind w:right="120" w:firstLine="490"/>
        <w:spacing w:after="0" w:line="244" w:lineRule="auto"/>
        <w:rPr>
          <w:sz w:val="20"/>
          <w:szCs w:val="20"/>
          <w:color w:val="auto"/>
        </w:rPr>
      </w:pPr>
      <w:r>
        <w:rPr>
          <w:rFonts w:ascii="Arial" w:cs="Arial" w:eastAsia="Arial" w:hAnsi="Arial"/>
          <w:sz w:val="20"/>
          <w:szCs w:val="20"/>
          <w:color w:val="231F20"/>
        </w:rPr>
        <w:t>Under our Global Health Agreement with Adjuvant, we have a contractual commitment to use reasonably diligent endeavors to develop epetraborole and any other mutually agreed-upon products for melioidosis, tuberculosis, and other indications for at-risk developing countries at accessible pricing and at reasonable volume, including selling epetraborole and any other mutually agreed-upon products in certain target countries at or slightly above the cost of sales, so long as we do not sell products at a loss. Under the Global Health Agreement, we made certain commitments to develop epetraborole and any other mutually agreed-upon products and to pursue regulatory strategies and product registrations. If we do not maintain compliance with these and other program-related global access commitments under the Global Health Agreement, Adjuvant may be entitled to repayment for any portion of its investment that is not used for the purposes outlined in the Global Health Agreement. Our obligations under the Global Health Agreement may affect our ability to commercialize epetraborole in certain countries.</w:t>
      </w:r>
    </w:p>
    <w:p>
      <w:pPr>
        <w:spacing w:after="0" w:line="202"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231F20"/>
        </w:rPr>
        <w:t>Our strategy for developing epetraborole for global health initiatives depends on receiving non-dilutive funding from sources such as public and private agencies and foundations. We, as a company, have limited experience with non-dilutive funding, and we may not be able to obtain additional non-dilutive funding to support our needs to fund our global health initiatives. For example, we cannot be certain that there will be additional awards, contracts, grants or funding sources or solicitations available to support our development efforts, that our other grant applications and funding proposals will be successful, or that we will be able to continue satisfying the award criteria of the NIAID contract award or any grants or funding awarded to us. If we fail to receive additional non-dilutive funding, progress in our global health initiatives may be impaired or delayed.</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Risks Related to the Development of Our Product Candidates</w:t>
      </w:r>
    </w:p>
    <w:p>
      <w:pPr>
        <w:spacing w:after="0" w:line="128" w:lineRule="exact"/>
        <w:rPr>
          <w:sz w:val="20"/>
          <w:szCs w:val="20"/>
          <w:color w:val="auto"/>
        </w:rPr>
      </w:pPr>
    </w:p>
    <w:p>
      <w:pPr>
        <w:ind w:right="280"/>
        <w:spacing w:after="0" w:line="289" w:lineRule="auto"/>
        <w:rPr>
          <w:sz w:val="20"/>
          <w:szCs w:val="20"/>
          <w:color w:val="auto"/>
        </w:rPr>
      </w:pPr>
      <w:r>
        <w:rPr>
          <w:rFonts w:ascii="Arial" w:cs="Arial" w:eastAsia="Arial" w:hAnsi="Arial"/>
          <w:sz w:val="20"/>
          <w:szCs w:val="20"/>
          <w:b w:val="1"/>
          <w:bCs w:val="1"/>
          <w:i w:val="1"/>
          <w:iCs w:val="1"/>
          <w:color w:val="231F20"/>
        </w:rPr>
        <w:t>If we do not obtain regulatory approval for and successfully commercialize any of our product candidates, or if we experience significant delays in doing so, we may never become profitable.</w:t>
      </w:r>
    </w:p>
    <w:p>
      <w:pPr>
        <w:spacing w:after="0" w:line="22" w:lineRule="exact"/>
        <w:rPr>
          <w:sz w:val="20"/>
          <w:szCs w:val="20"/>
          <w:color w:val="auto"/>
        </w:rPr>
      </w:pPr>
    </w:p>
    <w:p>
      <w:pPr>
        <w:ind w:right="60" w:firstLine="490"/>
        <w:spacing w:after="0" w:line="245" w:lineRule="auto"/>
        <w:rPr>
          <w:sz w:val="20"/>
          <w:szCs w:val="20"/>
          <w:color w:val="auto"/>
        </w:rPr>
      </w:pPr>
      <w:r>
        <w:rPr>
          <w:rFonts w:ascii="Arial" w:cs="Arial" w:eastAsia="Arial" w:hAnsi="Arial"/>
          <w:sz w:val="20"/>
          <w:szCs w:val="20"/>
          <w:color w:val="231F20"/>
        </w:rPr>
        <w:t>We currently have no products approved for sale and have historically invested a significant portion of our efforts and financial resources on the development of our initial product candidate, epetraborole, as a treatment for treatment-refractory MAC lung disease. Although we have discontinued our development efforts with respect to epetraborole in the treatment-refractory MAC population, our business remains heavily dependent on the successful development, regulatory approval, and, if approved, commercialization of our product candidates. We cannot be certain that any product candidate will advance through each of the various stages of drug development and receive regulatory approval or will be successfully commercialized even if it receives regulatory approval. The research, development, manufacturing, safety, efficacy, labeling, approval, sale, marketing and distribution of our product candidates are, and will remain, subject to comprehensive regulation by the FDA and other comparable foreign regulatory authorities.</w:t>
      </w:r>
    </w:p>
    <w:p>
      <w:pPr>
        <w:spacing w:after="0" w:line="197"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231F20"/>
        </w:rPr>
        <w:t>Before obtaining regulatory approvals for the commercial sale of any product candidates, we must demonstrate through preclinical and nonclinical studies and clinical trials that the product candidate is safe and effective for use in each target indication. Drug development is a long, expensive and uncertain process, and delay or failure can occur at any stage during our nonclinical studies, clinical trials or drug product manufacturing process. These delays or failures could be caused by a variety of factors, including but not limited to, toxicity, safety, tolerability, efficacy, problems with clinical trial enrollment, drug product availability, stability, and impurity issues related to drug product manufacturing. For example, in May 2025, we decided to discontinue our development of epetraborole for treatment-refractory MAC lung disease following the failure of the truncated Phase 3 portion of the EBO-301 study to meet its primary endpoint.</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800"/>
          </w:cols>
          <w:pgMar w:left="540" w:top="750" w:right="540" w:bottom="0" w:gutter="0" w:footer="0" w:header="0"/>
          <w:type w:val="continuous"/>
        </w:sectPr>
      </w:pPr>
    </w:p>
    <w:bookmarkStart w:id="28" w:name="page29"/>
    <w:bookmarkEnd w:id="28"/>
    <w:p>
      <w:pPr>
        <w:jc w:val="both"/>
        <w:ind w:right="180" w:firstLine="490"/>
        <w:spacing w:after="0" w:line="261" w:lineRule="auto"/>
        <w:rPr>
          <w:sz w:val="20"/>
          <w:szCs w:val="20"/>
          <w:color w:val="auto"/>
        </w:rPr>
      </w:pPr>
      <w:r>
        <w:rPr>
          <w:rFonts w:ascii="Arial" w:cs="Arial" w:eastAsia="Arial" w:hAnsi="Arial"/>
          <w:sz w:val="20"/>
          <w:szCs w:val="20"/>
          <w:color w:val="231F20"/>
        </w:rPr>
        <w:t>Failure to obtain regulatory approval for our product candidates in the U.S. or other territories will prevent us from commercializing and marketing such product candidates. The success of our product candidates will depend on several additional factors, including:</w:t>
      </w:r>
    </w:p>
    <w:p>
      <w:pPr>
        <w:spacing w:after="0" w:line="73" w:lineRule="exact"/>
        <w:rPr>
          <w:sz w:val="20"/>
          <w:szCs w:val="20"/>
          <w:color w:val="auto"/>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successful and timely completion of preclinical and nonclinical studies and requisite clinical trials;</w:t>
      </w:r>
    </w:p>
    <w:p>
      <w:pPr>
        <w:spacing w:after="0" w:line="133" w:lineRule="exact"/>
        <w:rPr>
          <w:rFonts w:ascii="Arial" w:cs="Arial" w:eastAsia="Arial" w:hAnsi="Arial"/>
          <w:sz w:val="20"/>
          <w:szCs w:val="20"/>
          <w:color w:val="231F20"/>
        </w:rPr>
      </w:pPr>
    </w:p>
    <w:p>
      <w:pPr>
        <w:ind w:left="980" w:right="520" w:hanging="490"/>
        <w:spacing w:after="0" w:line="282" w:lineRule="auto"/>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performing preclinical studies and clinical trials in compliance with the FDA or any comparable regulatory authority requirements;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receipt of regulatory approvals from applicable regulatory authorities;</w:t>
      </w:r>
    </w:p>
    <w:p>
      <w:pPr>
        <w:spacing w:after="0" w:line="133" w:lineRule="exact"/>
        <w:rPr>
          <w:rFonts w:ascii="Arial" w:cs="Arial" w:eastAsia="Arial" w:hAnsi="Arial"/>
          <w:sz w:val="20"/>
          <w:szCs w:val="20"/>
          <w:color w:val="231F20"/>
        </w:rPr>
      </w:pPr>
    </w:p>
    <w:p>
      <w:pPr>
        <w:ind w:left="980" w:right="1260" w:hanging="490"/>
        <w:spacing w:after="0" w:line="282" w:lineRule="auto"/>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the ability to manufacture sufficient quantity of product for development, clinical trials or potential commercialization;</w:t>
      </w:r>
    </w:p>
    <w:p>
      <w:pPr>
        <w:spacing w:after="0" w:line="53" w:lineRule="exact"/>
        <w:rPr>
          <w:rFonts w:ascii="Arial" w:cs="Arial" w:eastAsia="Arial" w:hAnsi="Arial"/>
          <w:sz w:val="20"/>
          <w:szCs w:val="20"/>
          <w:color w:val="231F20"/>
        </w:rPr>
      </w:pPr>
    </w:p>
    <w:p>
      <w:pPr>
        <w:jc w:val="both"/>
        <w:ind w:left="980" w:right="220" w:hanging="490"/>
        <w:spacing w:after="0" w:line="261" w:lineRule="auto"/>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obtaining regulatory approvals with labeling for sufficiently broad patient populations and indications, without unduly restrictive distribution limitations or safety warnings, such as black box warnings or a Risk Evaluation and Mitigation Strategies (“REMS”) program;</w:t>
      </w:r>
    </w:p>
    <w:p>
      <w:pPr>
        <w:spacing w:after="0" w:line="73" w:lineRule="exact"/>
        <w:rPr>
          <w:rFonts w:ascii="Arial" w:cs="Arial" w:eastAsia="Arial" w:hAnsi="Arial"/>
          <w:sz w:val="20"/>
          <w:szCs w:val="20"/>
          <w:color w:val="231F20"/>
        </w:rPr>
      </w:pPr>
    </w:p>
    <w:p>
      <w:pPr>
        <w:ind w:left="980" w:right="440" w:hanging="490"/>
        <w:spacing w:after="0" w:line="282" w:lineRule="auto"/>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obtaining and maintaining patent, trademark and trade secret protection, and regulatory exclusivity for our product candidates;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making and retaining sufficient and reliable arrangements with third parties for manufacturing capabilities;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launching commercial sales of products, if and when approved;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acceptance of our therapies, if and when approved, by physicians, patients and third-party payors;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competing effectively with other therapies;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obtaining and maintaining healthcare coverage and adequate reimbursement from third-party payors;</w:t>
      </w:r>
    </w:p>
    <w:p>
      <w:pPr>
        <w:spacing w:after="0" w:line="133" w:lineRule="exact"/>
        <w:rPr>
          <w:rFonts w:ascii="Arial" w:cs="Arial" w:eastAsia="Arial" w:hAnsi="Arial"/>
          <w:sz w:val="20"/>
          <w:szCs w:val="20"/>
          <w:color w:val="231F20"/>
        </w:rPr>
      </w:pPr>
    </w:p>
    <w:p>
      <w:pPr>
        <w:ind w:left="980" w:right="1040" w:hanging="490"/>
        <w:spacing w:after="0" w:line="282" w:lineRule="auto"/>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maintaining, protecting and expanding our portfolio of intellectual property rights, including patents, trademarks, trade secrets and know-how;</w:t>
      </w:r>
    </w:p>
    <w:p>
      <w:pPr>
        <w:spacing w:after="0" w:line="53" w:lineRule="exact"/>
        <w:rPr>
          <w:rFonts w:ascii="Arial" w:cs="Arial" w:eastAsia="Arial" w:hAnsi="Arial"/>
          <w:sz w:val="20"/>
          <w:szCs w:val="20"/>
          <w:color w:val="231F20"/>
        </w:rPr>
      </w:pPr>
    </w:p>
    <w:p>
      <w:pPr>
        <w:ind w:left="980" w:right="540" w:hanging="490"/>
        <w:spacing w:after="0" w:line="282" w:lineRule="auto"/>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avoiding and defending against third-party infringement, misappropriation or other violation of intellectual property claims;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maintaining a continued acceptable safety and tolerability profile of our drugs following approval; and</w:t>
      </w:r>
    </w:p>
    <w:p>
      <w:pPr>
        <w:spacing w:after="0" w:line="133" w:lineRule="exact"/>
        <w:rPr>
          <w:rFonts w:ascii="Arial" w:cs="Arial" w:eastAsia="Arial" w:hAnsi="Arial"/>
          <w:sz w:val="20"/>
          <w:szCs w:val="20"/>
          <w:color w:val="231F20"/>
        </w:rPr>
      </w:pPr>
    </w:p>
    <w:p>
      <w:pPr>
        <w:ind w:left="980" w:hanging="490"/>
        <w:spacing w:after="0" w:line="282" w:lineRule="auto"/>
        <w:tabs>
          <w:tab w:leader="none" w:pos="98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allowance to proceed with clinical trials under future INDs, or under comparable applications submitted outside the U.S.</w:t>
      </w:r>
    </w:p>
    <w:p>
      <w:pPr>
        <w:spacing w:after="0" w:line="160" w:lineRule="exact"/>
        <w:rPr>
          <w:sz w:val="20"/>
          <w:szCs w:val="20"/>
          <w:color w:val="auto"/>
        </w:rPr>
      </w:pPr>
    </w:p>
    <w:p>
      <w:pPr>
        <w:ind w:right="120" w:firstLine="490"/>
        <w:spacing w:after="0" w:line="282" w:lineRule="auto"/>
        <w:rPr>
          <w:sz w:val="20"/>
          <w:szCs w:val="20"/>
          <w:color w:val="auto"/>
        </w:rPr>
      </w:pPr>
      <w:r>
        <w:rPr>
          <w:rFonts w:ascii="Arial" w:cs="Arial" w:eastAsia="Arial" w:hAnsi="Arial"/>
          <w:sz w:val="20"/>
          <w:szCs w:val="20"/>
          <w:color w:val="231F20"/>
        </w:rPr>
        <w:t>If we do not achieve these factors in a timely manner or at all, we could experience significant delays or an inability to successfully commercialize our product candidates, which would harm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may not be successful in our efforts to build a pipeline of product candidates.</w:t>
      </w:r>
    </w:p>
    <w:p>
      <w:pPr>
        <w:spacing w:after="0" w:line="116"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 xml:space="preserve">A key element of our strategy is to develop our AN2 drug discovery platform, build a pipeline of product candidates and progress these product candidates through clinical development for the treatment of PV, </w:t>
      </w:r>
      <w:r>
        <w:rPr>
          <w:rFonts w:ascii="Arial" w:cs="Arial" w:eastAsia="Arial" w:hAnsi="Arial"/>
          <w:sz w:val="20"/>
          <w:szCs w:val="20"/>
          <w:i w:val="1"/>
          <w:iCs w:val="1"/>
          <w:color w:val="231F20"/>
        </w:rPr>
        <w:t>M. abscessus</w:t>
      </w:r>
      <w:r>
        <w:rPr>
          <w:rFonts w:ascii="Arial" w:cs="Arial" w:eastAsia="Arial" w:hAnsi="Arial"/>
          <w:sz w:val="20"/>
          <w:szCs w:val="20"/>
          <w:color w:val="231F20"/>
        </w:rPr>
        <w:t xml:space="preserve"> lung disease, Chagas disease, melioidosis, tuberculosis, other infectious diseases, and in oncology. Our pipeline is primarily composed of early-stage and mid-stage programs, and clinical proof of concept has not yet been established for any of our product candidates. We may not be able to develop product candidates that are safe and effective for any proposed use. Even if we are successful in continuing to build our pipeline, the potential product candidates that we identify may not be suitable for clinical development, as a result of significant safety, tolerability and other negative characteristics or limitations that may prevent successful regulatory approval or limit market acceptance or reimbursements from third-party payors. If we do not successfully develop and commercialize any of our product candidates, we will not be able to obtain product revenue in future periods, which could significantly harm our financial position and adversely affect the trading price of our common stock.</w:t>
      </w:r>
    </w:p>
    <w:p>
      <w:pPr>
        <w:sectPr>
          <w:pgSz w:w="11880" w:h="15480" w:orient="portrait"/>
          <w:cols w:equalWidth="0" w:num="1">
            <w:col w:w="10740"/>
          </w:cols>
          <w:pgMar w:left="540" w:top="75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740"/>
          </w:cols>
          <w:pgMar w:left="540" w:top="750" w:right="600" w:bottom="0"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b w:val="1"/>
          <w:bCs w:val="1"/>
          <w:i w:val="1"/>
          <w:iCs w:val="1"/>
          <w:color w:val="231F20"/>
        </w:rPr>
        <w:t>There can be no assurance that any clinical trials we conduct will be sufficient for product approval.</w:t>
      </w:r>
    </w:p>
    <w:p>
      <w:pPr>
        <w:spacing w:after="0" w:line="116" w:lineRule="exact"/>
        <w:rPr>
          <w:sz w:val="20"/>
          <w:szCs w:val="20"/>
          <w:color w:val="auto"/>
        </w:rPr>
      </w:pPr>
    </w:p>
    <w:p>
      <w:pPr>
        <w:ind w:right="160" w:firstLine="490"/>
        <w:spacing w:after="0" w:line="245" w:lineRule="auto"/>
        <w:rPr>
          <w:sz w:val="20"/>
          <w:szCs w:val="20"/>
          <w:color w:val="auto"/>
        </w:rPr>
      </w:pPr>
      <w:r>
        <w:rPr>
          <w:rFonts w:ascii="Arial" w:cs="Arial" w:eastAsia="Arial" w:hAnsi="Arial"/>
          <w:sz w:val="20"/>
          <w:szCs w:val="20"/>
          <w:color w:val="231F20"/>
        </w:rPr>
        <w:t>Prior to marketing any product candidate in the U.S., we must demonstrate that such product candidate is safe and provide substantial evidence of effectiveness for its intended uses. The FDA has generally interpreted the “substantial evidence” requirements as requiring sponsors to conduct two adequate and well-controlled Phase 3 clinical trials. However, in some circumstances, the FDA may conclude that substantial evidence of efficacy has been demonstrated through the conduct of one adequate and well-controlled clinical trial, plus confirmatory evidence (whether obtained prior to or after such trial). Regardless of the clinical development plans we decide to pursue with respect to our product candidates, there can be no assurance that the FDA will not require additional clinical trials for approval of such product candidates beyond the trials that we currently plan to conduct, including in other geographies, even if we successfully complete the trial and believe the results are sufficiently positive.</w:t>
      </w:r>
    </w:p>
    <w:p>
      <w:pPr>
        <w:spacing w:after="0" w:line="197" w:lineRule="exact"/>
        <w:rPr>
          <w:sz w:val="20"/>
          <w:szCs w:val="20"/>
          <w:color w:val="auto"/>
        </w:rPr>
      </w:pPr>
    </w:p>
    <w:p>
      <w:pPr>
        <w:jc w:val="both"/>
        <w:ind w:right="20" w:firstLine="490"/>
        <w:spacing w:after="0" w:line="254" w:lineRule="auto"/>
        <w:rPr>
          <w:sz w:val="20"/>
          <w:szCs w:val="20"/>
          <w:color w:val="auto"/>
        </w:rPr>
      </w:pPr>
      <w:r>
        <w:rPr>
          <w:rFonts w:ascii="Arial" w:cs="Arial" w:eastAsia="Arial" w:hAnsi="Arial"/>
          <w:sz w:val="20"/>
          <w:szCs w:val="20"/>
          <w:color w:val="231F20"/>
        </w:rPr>
        <w:t>As a company, we have limited experience designing and conducting clinical trials in the U.S. or other geographies and may be unable to design and execute a clinical trial to support regulatory approval. In addition, the design and results of our clinical trials may not be sufficient to support approval, since factors such as an inappropriate dosage or flaws in the design of a clinical trial may not become apparent until the clinical trial is in progress or data are available.</w:t>
      </w:r>
    </w:p>
    <w:p>
      <w:pPr>
        <w:spacing w:after="0" w:line="186"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231F20"/>
        </w:rPr>
        <w:t>There is a high failure rate for product candidates proceeding through clinical trials. Many companies in the pharmaceutical and biotechnology industries have suffered significant setbacks in later-stage clinical trials even after achieving promising results in preclinical testing and earlier-stage clinical trials. For example, in May 2025, we announced that the truncated Phase 3 portion of the EBO-301 study did not meet its primary endpoint of demonstrating an improvement on the QOL-B respiratory domain PRO instrument (change from baseline to month 6), though epetraborole was generally well tolerated in the trial. Based on these results, we decided to suspend further development of epetraborole for treatment-refractory MAC lung disease. There is no guarantee that we will not experience similar setbacks with respect to our other product candidates.</w:t>
      </w:r>
    </w:p>
    <w:p>
      <w:pPr>
        <w:spacing w:after="0" w:line="318"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b w:val="1"/>
          <w:bCs w:val="1"/>
          <w:i w:val="1"/>
          <w:iCs w:val="1"/>
          <w:color w:val="231F20"/>
        </w:rPr>
        <w:t>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55" w:lineRule="exact"/>
        <w:rPr>
          <w:sz w:val="20"/>
          <w:szCs w:val="20"/>
          <w:color w:val="auto"/>
        </w:rPr>
      </w:pPr>
    </w:p>
    <w:p>
      <w:pPr>
        <w:ind w:firstLine="490"/>
        <w:spacing w:after="0" w:line="242" w:lineRule="auto"/>
        <w:rPr>
          <w:sz w:val="20"/>
          <w:szCs w:val="20"/>
          <w:color w:val="auto"/>
        </w:rPr>
      </w:pPr>
      <w:r>
        <w:rPr>
          <w:rFonts w:ascii="Arial" w:cs="Arial" w:eastAsia="Arial" w:hAnsi="Arial"/>
          <w:sz w:val="20"/>
          <w:szCs w:val="20"/>
          <w:color w:val="231F20"/>
        </w:rPr>
        <w:t>We may not commercialize, market, promote, or sell any product candidate without obtaining regulatory approval from the FDA or other comparable regulatory authorities, and we may never receive such approvals. It is impossible to predict when or if any of our product candidates will be deemed effective or safe in humans and receive regulatory approval. Before obtaining regulatory approval from regulatory authorities for the sale of any of our product candidates, we must complete preclinical and nonclinical development and conduct extensive clinical trials to demonstrate the safety and efficacy of such product candidates in humans. Clinical testing is expensive, difficult to design and implement, can take many years to complete, and is uncertain as to outcome. A failure of one or more clinical trials can occur at any stage of testing. Moreover, preclinical, nonclinical and clinical data are often susceptible to varying interpretations and analyses, and many companies that have believed their product candidates performed satisfactorily in preclinical and nonclinical studies and clinical trials have nonetheless failed to obtain regulatory approval of their products. In addition,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w:t>
      </w:r>
    </w:p>
    <w:p>
      <w:pPr>
        <w:spacing w:after="0" w:line="210" w:lineRule="exact"/>
        <w:rPr>
          <w:sz w:val="20"/>
          <w:szCs w:val="20"/>
          <w:color w:val="auto"/>
        </w:rPr>
      </w:pPr>
    </w:p>
    <w:p>
      <w:pPr>
        <w:ind w:right="20" w:firstLine="490"/>
        <w:spacing w:after="0" w:line="261" w:lineRule="auto"/>
        <w:rPr>
          <w:sz w:val="20"/>
          <w:szCs w:val="20"/>
          <w:color w:val="auto"/>
        </w:rPr>
      </w:pPr>
      <w:r>
        <w:rPr>
          <w:rFonts w:ascii="Arial" w:cs="Arial" w:eastAsia="Arial" w:hAnsi="Arial"/>
          <w:sz w:val="20"/>
          <w:szCs w:val="20"/>
          <w:color w:val="231F20"/>
        </w:rPr>
        <w:t>We may experience numerous unforeseen events prior to, during, or as a result of, clinical trials that could delay or prevent our ability to receive regulatory approval or commercialize any of our product candidates, including, but not limited to:</w:t>
      </w:r>
    </w:p>
    <w:p>
      <w:pPr>
        <w:spacing w:after="0" w:line="73" w:lineRule="exact"/>
        <w:rPr>
          <w:sz w:val="20"/>
          <w:szCs w:val="20"/>
          <w:color w:val="auto"/>
        </w:rPr>
      </w:pPr>
    </w:p>
    <w:p>
      <w:pPr>
        <w:ind w:left="980" w:right="380" w:hanging="490"/>
        <w:spacing w:after="0" w:line="282" w:lineRule="auto"/>
        <w:tabs>
          <w:tab w:leader="none" w:pos="980" w:val="left"/>
        </w:tabs>
        <w:numPr>
          <w:ilvl w:val="0"/>
          <w:numId w:val="17"/>
        </w:numPr>
        <w:rPr>
          <w:rFonts w:ascii="Arial" w:cs="Arial" w:eastAsia="Arial" w:hAnsi="Arial"/>
          <w:sz w:val="20"/>
          <w:szCs w:val="20"/>
          <w:color w:val="231F20"/>
        </w:rPr>
      </w:pPr>
      <w:r>
        <w:rPr>
          <w:rFonts w:ascii="Arial" w:cs="Arial" w:eastAsia="Arial" w:hAnsi="Arial"/>
          <w:sz w:val="20"/>
          <w:szCs w:val="20"/>
          <w:color w:val="231F20"/>
        </w:rPr>
        <w:t>we may be unable to generate sufficient preclinical, toxicology or other in vivo or in vitro data to support the initiation or continuation of clinical trials;</w:t>
      </w:r>
    </w:p>
    <w:p>
      <w:pPr>
        <w:spacing w:after="0" w:line="53" w:lineRule="exact"/>
        <w:rPr>
          <w:rFonts w:ascii="Arial" w:cs="Arial" w:eastAsia="Arial" w:hAnsi="Arial"/>
          <w:sz w:val="20"/>
          <w:szCs w:val="20"/>
          <w:color w:val="231F20"/>
        </w:rPr>
      </w:pPr>
    </w:p>
    <w:p>
      <w:pPr>
        <w:ind w:left="980" w:right="240" w:hanging="490"/>
        <w:spacing w:after="0" w:line="254" w:lineRule="auto"/>
        <w:tabs>
          <w:tab w:leader="none" w:pos="980" w:val="left"/>
        </w:tabs>
        <w:numPr>
          <w:ilvl w:val="0"/>
          <w:numId w:val="17"/>
        </w:numPr>
        <w:rPr>
          <w:rFonts w:ascii="Arial" w:cs="Arial" w:eastAsia="Arial" w:hAnsi="Arial"/>
          <w:sz w:val="20"/>
          <w:szCs w:val="20"/>
          <w:color w:val="231F20"/>
        </w:rPr>
      </w:pPr>
      <w:r>
        <w:rPr>
          <w:rFonts w:ascii="Arial" w:cs="Arial" w:eastAsia="Arial" w:hAnsi="Arial"/>
          <w:sz w:val="20"/>
          <w:szCs w:val="20"/>
          <w:color w:val="231F20"/>
        </w:rPr>
        <w:t>the FDA or other comparable regulatory authorities may disagree as to the design or implementation of our clinical trials, including the selection of primary and secondary endpoints, which may result in changes to our planned clinical trial design and potential target clinical outcomes, or may result in failure to obtain approval altogether;</w:t>
      </w:r>
    </w:p>
    <w:p>
      <w:pPr>
        <w:sectPr>
          <w:pgSz w:w="11880" w:h="15480" w:orient="portrait"/>
          <w:cols w:equalWidth="0" w:num="1">
            <w:col w:w="10800"/>
          </w:cols>
          <w:pgMar w:left="540" w:top="754" w:right="54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800"/>
          </w:cols>
          <w:pgMar w:left="540" w:top="754" w:right="540" w:bottom="0" w:gutter="0" w:footer="0" w:header="0"/>
          <w:type w:val="continuous"/>
        </w:sectPr>
      </w:pPr>
    </w:p>
    <w:bookmarkStart w:id="30" w:name="page31"/>
    <w:bookmarkEnd w:id="30"/>
    <w:p>
      <w:pPr>
        <w:ind w:left="980" w:right="560" w:hanging="490"/>
        <w:spacing w:after="0" w:line="282"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regulators, IRBs, or ethics committees may not allow or authorize us or our investigators to commence a clinical trial or conduct a clinical trial at a prospective trial site;</w:t>
      </w:r>
    </w:p>
    <w:p>
      <w:pPr>
        <w:spacing w:after="0" w:line="53" w:lineRule="exact"/>
        <w:rPr>
          <w:rFonts w:ascii="Arial" w:cs="Arial" w:eastAsia="Arial" w:hAnsi="Arial"/>
          <w:sz w:val="20"/>
          <w:szCs w:val="20"/>
          <w:color w:val="231F20"/>
        </w:rPr>
      </w:pPr>
    </w:p>
    <w:p>
      <w:pPr>
        <w:ind w:left="980" w:right="140" w:hanging="490"/>
        <w:spacing w:after="0" w:line="261"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we may not reach agreement on acceptable terms with prospective CROs, and clinical trial sites, the terms of which can be subject to extensive negotiation and may vary significantly among different CROs and clinical trial sites;</w:t>
      </w:r>
    </w:p>
    <w:p>
      <w:pPr>
        <w:spacing w:after="0" w:line="73" w:lineRule="exact"/>
        <w:rPr>
          <w:rFonts w:ascii="Arial" w:cs="Arial" w:eastAsia="Arial" w:hAnsi="Arial"/>
          <w:sz w:val="20"/>
          <w:szCs w:val="20"/>
          <w:color w:val="231F20"/>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we may experience delays in identifying, recruiting and training suitable clinical investigators;</w:t>
      </w:r>
    </w:p>
    <w:p>
      <w:pPr>
        <w:spacing w:after="0" w:line="133" w:lineRule="exact"/>
        <w:rPr>
          <w:rFonts w:ascii="Arial" w:cs="Arial" w:eastAsia="Arial" w:hAnsi="Arial"/>
          <w:sz w:val="20"/>
          <w:szCs w:val="20"/>
          <w:color w:val="231F20"/>
        </w:rPr>
      </w:pPr>
    </w:p>
    <w:p>
      <w:pPr>
        <w:ind w:left="980" w:right="460" w:hanging="490"/>
        <w:spacing w:after="0" w:line="261"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73" w:lineRule="exact"/>
        <w:rPr>
          <w:rFonts w:ascii="Arial" w:cs="Arial" w:eastAsia="Arial" w:hAnsi="Arial"/>
          <w:sz w:val="20"/>
          <w:szCs w:val="20"/>
          <w:color w:val="231F20"/>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we may make changes or amendments to a trial protocol;</w:t>
      </w:r>
    </w:p>
    <w:p>
      <w:pPr>
        <w:spacing w:after="0" w:line="133" w:lineRule="exact"/>
        <w:rPr>
          <w:rFonts w:ascii="Arial" w:cs="Arial" w:eastAsia="Arial" w:hAnsi="Arial"/>
          <w:sz w:val="20"/>
          <w:szCs w:val="20"/>
          <w:color w:val="231F20"/>
        </w:rPr>
      </w:pPr>
    </w:p>
    <w:p>
      <w:pPr>
        <w:ind w:left="980" w:right="120" w:hanging="490"/>
        <w:spacing w:after="0" w:line="282"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we may select endpoints that require prolonged periods of clinical observation or require extended analysis of the resulting data;</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clinical trial sites may deviate from the trial protocol or drop out of a trial;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clinical trials for our product candidates may produce negative or inconclusive results;</w:t>
      </w:r>
    </w:p>
    <w:p>
      <w:pPr>
        <w:spacing w:after="0" w:line="133" w:lineRule="exact"/>
        <w:rPr>
          <w:rFonts w:ascii="Arial" w:cs="Arial" w:eastAsia="Arial" w:hAnsi="Arial"/>
          <w:sz w:val="20"/>
          <w:szCs w:val="20"/>
          <w:color w:val="231F20"/>
        </w:rPr>
      </w:pPr>
    </w:p>
    <w:p>
      <w:pPr>
        <w:ind w:left="980" w:right="960" w:hanging="490"/>
        <w:spacing w:after="0" w:line="282"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we may decide, or regulators may require us, to conduct additional clinical trials or abandon product development programs;</w:t>
      </w:r>
    </w:p>
    <w:p>
      <w:pPr>
        <w:spacing w:after="0" w:line="53" w:lineRule="exact"/>
        <w:rPr>
          <w:rFonts w:ascii="Arial" w:cs="Arial" w:eastAsia="Arial" w:hAnsi="Arial"/>
          <w:sz w:val="20"/>
          <w:szCs w:val="20"/>
          <w:color w:val="231F20"/>
        </w:rPr>
      </w:pPr>
    </w:p>
    <w:p>
      <w:pPr>
        <w:jc w:val="both"/>
        <w:ind w:left="980" w:right="20" w:hanging="490"/>
        <w:spacing w:after="0" w:line="261"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enrollment in clinical trials may be slower than we anticipate, participants may drop out of these clinical trials at a higher rate than we anticipate, we may fail to recruit suitable patients to participate in a trial, or the number of patients required for clinical trials of our product candidates may be larger than we anticipate;</w:t>
      </w:r>
    </w:p>
    <w:p>
      <w:pPr>
        <w:spacing w:after="0" w:line="73" w:lineRule="exact"/>
        <w:rPr>
          <w:rFonts w:ascii="Arial" w:cs="Arial" w:eastAsia="Arial" w:hAnsi="Arial"/>
          <w:sz w:val="20"/>
          <w:szCs w:val="20"/>
          <w:color w:val="231F20"/>
        </w:rPr>
      </w:pPr>
    </w:p>
    <w:p>
      <w:pPr>
        <w:ind w:left="980" w:right="40" w:hanging="490"/>
        <w:spacing w:after="0" w:line="282"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our third-party contractors may fail to comply with regulatory requirements or meet their contractual obligations to us in a timely manner, or at all;</w:t>
      </w:r>
    </w:p>
    <w:p>
      <w:pPr>
        <w:spacing w:after="0" w:line="53" w:lineRule="exact"/>
        <w:rPr>
          <w:rFonts w:ascii="Arial" w:cs="Arial" w:eastAsia="Arial" w:hAnsi="Arial"/>
          <w:sz w:val="20"/>
          <w:szCs w:val="20"/>
          <w:color w:val="231F20"/>
        </w:rPr>
      </w:pPr>
    </w:p>
    <w:p>
      <w:pPr>
        <w:ind w:left="980" w:right="460" w:hanging="490"/>
        <w:spacing w:after="0" w:line="261"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73" w:lineRule="exact"/>
        <w:rPr>
          <w:rFonts w:ascii="Arial" w:cs="Arial" w:eastAsia="Arial" w:hAnsi="Arial"/>
          <w:sz w:val="20"/>
          <w:szCs w:val="20"/>
          <w:color w:val="231F20"/>
        </w:rPr>
      </w:pPr>
    </w:p>
    <w:p>
      <w:pPr>
        <w:ind w:left="980" w:right="80" w:hanging="490"/>
        <w:spacing w:after="0" w:line="282"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we may lack adequate funding to complete a clinical trial, or the cost of clinical trials of our product candidates may be greater than we anticipate;</w:t>
      </w:r>
    </w:p>
    <w:p>
      <w:pPr>
        <w:spacing w:after="0" w:line="53" w:lineRule="exact"/>
        <w:rPr>
          <w:rFonts w:ascii="Arial" w:cs="Arial" w:eastAsia="Arial" w:hAnsi="Arial"/>
          <w:sz w:val="20"/>
          <w:szCs w:val="20"/>
          <w:color w:val="231F20"/>
        </w:rPr>
      </w:pPr>
    </w:p>
    <w:p>
      <w:pPr>
        <w:ind w:left="980" w:hanging="490"/>
        <w:spacing w:after="0" w:line="310" w:lineRule="auto"/>
        <w:tabs>
          <w:tab w:leader="none" w:pos="980" w:val="left"/>
        </w:tabs>
        <w:numPr>
          <w:ilvl w:val="0"/>
          <w:numId w:val="18"/>
        </w:numPr>
        <w:rPr>
          <w:rFonts w:ascii="Arial" w:cs="Arial" w:eastAsia="Arial" w:hAnsi="Arial"/>
          <w:sz w:val="19"/>
          <w:szCs w:val="19"/>
          <w:color w:val="231F20"/>
        </w:rPr>
      </w:pPr>
      <w:r>
        <w:rPr>
          <w:rFonts w:ascii="Arial" w:cs="Arial" w:eastAsia="Arial" w:hAnsi="Arial"/>
          <w:sz w:val="19"/>
          <w:szCs w:val="19"/>
          <w:color w:val="231F20"/>
        </w:rPr>
        <w:t>the FDA or other comparable regulatory authorities may fail to approve the manufacturing processes or facilities of third-party manufacturers with whom we enter into agreements for clinical and commercial supplies;</w:t>
      </w:r>
    </w:p>
    <w:p>
      <w:pPr>
        <w:spacing w:after="0" w:line="29" w:lineRule="exact"/>
        <w:rPr>
          <w:rFonts w:ascii="Arial" w:cs="Arial" w:eastAsia="Arial" w:hAnsi="Arial"/>
          <w:sz w:val="19"/>
          <w:szCs w:val="19"/>
          <w:color w:val="231F20"/>
        </w:rPr>
      </w:pPr>
    </w:p>
    <w:p>
      <w:pPr>
        <w:ind w:left="980" w:right="300" w:hanging="490"/>
        <w:spacing w:after="0" w:line="282"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the supply or quality of our product candidates or other materials necessary to conduct clinical trials of such product candidates may be insufficient or inadequate;</w:t>
      </w:r>
    </w:p>
    <w:p>
      <w:pPr>
        <w:spacing w:after="0" w:line="53" w:lineRule="exact"/>
        <w:rPr>
          <w:rFonts w:ascii="Arial" w:cs="Arial" w:eastAsia="Arial" w:hAnsi="Arial"/>
          <w:sz w:val="20"/>
          <w:szCs w:val="20"/>
          <w:color w:val="231F20"/>
        </w:rPr>
      </w:pPr>
    </w:p>
    <w:p>
      <w:pPr>
        <w:ind w:left="980" w:right="400" w:hanging="490"/>
        <w:spacing w:after="0" w:line="282"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serious adverse events may occur in trials of the same class of agents conducted by other companies that could be considered similar to our product candidates;</w:t>
      </w:r>
    </w:p>
    <w:p>
      <w:pPr>
        <w:spacing w:after="0" w:line="53" w:lineRule="exact"/>
        <w:rPr>
          <w:rFonts w:ascii="Arial" w:cs="Arial" w:eastAsia="Arial" w:hAnsi="Arial"/>
          <w:sz w:val="20"/>
          <w:szCs w:val="20"/>
          <w:color w:val="231F20"/>
        </w:rPr>
      </w:pPr>
    </w:p>
    <w:p>
      <w:pPr>
        <w:ind w:left="980" w:right="200" w:hanging="490"/>
        <w:spacing w:after="0" w:line="282"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our product candidates may have undesirable side effects or other unexpected characteristics, causing us or our investigators, regulators or IRBs to suspend or terminate the clinical trials; and</w:t>
      </w:r>
    </w:p>
    <w:p>
      <w:pPr>
        <w:spacing w:after="0" w:line="53" w:lineRule="exact"/>
        <w:rPr>
          <w:rFonts w:ascii="Arial" w:cs="Arial" w:eastAsia="Arial" w:hAnsi="Arial"/>
          <w:sz w:val="20"/>
          <w:szCs w:val="20"/>
          <w:color w:val="231F20"/>
        </w:rPr>
      </w:pPr>
    </w:p>
    <w:p>
      <w:pPr>
        <w:ind w:left="980" w:right="380" w:hanging="490"/>
        <w:spacing w:after="0" w:line="282" w:lineRule="auto"/>
        <w:tabs>
          <w:tab w:leader="none" w:pos="98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the approval policies or regulations of the FDA or other comparable regulatory authorities may significantly change in a manner rendering our clinical data insufficient for approval.</w:t>
      </w:r>
    </w:p>
    <w:p>
      <w:pPr>
        <w:spacing w:after="0" w:line="160" w:lineRule="exact"/>
        <w:rPr>
          <w:sz w:val="20"/>
          <w:szCs w:val="20"/>
          <w:color w:val="auto"/>
        </w:rPr>
      </w:pPr>
    </w:p>
    <w:p>
      <w:pPr>
        <w:ind w:right="340" w:firstLine="490"/>
        <w:spacing w:after="0" w:line="254" w:lineRule="auto"/>
        <w:rPr>
          <w:sz w:val="20"/>
          <w:szCs w:val="20"/>
          <w:color w:val="auto"/>
        </w:rPr>
      </w:pPr>
      <w:r>
        <w:rPr>
          <w:rFonts w:ascii="Arial" w:cs="Arial" w:eastAsia="Arial" w:hAnsi="Arial"/>
          <w:sz w:val="20"/>
          <w:szCs w:val="20"/>
          <w:color w:val="231F20"/>
        </w:rPr>
        <w:t>If we are required to conduct additional clinical trials or other testing of any of our product candidates beyond the studies that we currently contemplate, if we are unable to successfully complete clinical trials or other testing of our product candidates, or if the results of these trials or tests are not positive or are only modestly positive or if there are safety concerns observed in these trials or tests, we may:</w:t>
      </w:r>
    </w:p>
    <w:p>
      <w:pPr>
        <w:spacing w:after="0" w:line="80" w:lineRule="exact"/>
        <w:rPr>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231F20"/>
        </w:rPr>
      </w:pPr>
      <w:r>
        <w:rPr>
          <w:rFonts w:ascii="Arial" w:cs="Arial" w:eastAsia="Arial" w:hAnsi="Arial"/>
          <w:sz w:val="20"/>
          <w:szCs w:val="20"/>
          <w:color w:val="231F20"/>
        </w:rPr>
        <w:t>be delayed in obtaining regulatory approval for our product candidates;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9"/>
        </w:numPr>
        <w:rPr>
          <w:rFonts w:ascii="Arial" w:cs="Arial" w:eastAsia="Arial" w:hAnsi="Arial"/>
          <w:sz w:val="20"/>
          <w:szCs w:val="20"/>
          <w:color w:val="231F20"/>
        </w:rPr>
      </w:pPr>
      <w:r>
        <w:rPr>
          <w:rFonts w:ascii="Arial" w:cs="Arial" w:eastAsia="Arial" w:hAnsi="Arial"/>
          <w:sz w:val="20"/>
          <w:szCs w:val="20"/>
          <w:color w:val="231F20"/>
        </w:rPr>
        <w:t>not obtain regulatory approval at all;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9"/>
        </w:numPr>
        <w:rPr>
          <w:rFonts w:ascii="Arial" w:cs="Arial" w:eastAsia="Arial" w:hAnsi="Arial"/>
          <w:sz w:val="20"/>
          <w:szCs w:val="20"/>
          <w:color w:val="231F20"/>
        </w:rPr>
      </w:pPr>
      <w:r>
        <w:rPr>
          <w:rFonts w:ascii="Arial" w:cs="Arial" w:eastAsia="Arial" w:hAnsi="Arial"/>
          <w:sz w:val="20"/>
          <w:szCs w:val="20"/>
          <w:color w:val="231F20"/>
        </w:rPr>
        <w:t>obtain approval for indications or patient populations that are not as broad as intended or desired;</w:t>
      </w:r>
    </w:p>
    <w:p>
      <w:pPr>
        <w:spacing w:after="0" w:line="133" w:lineRule="exact"/>
        <w:rPr>
          <w:rFonts w:ascii="Arial" w:cs="Arial" w:eastAsia="Arial" w:hAnsi="Arial"/>
          <w:sz w:val="20"/>
          <w:szCs w:val="20"/>
          <w:color w:val="231F20"/>
        </w:rPr>
      </w:pPr>
    </w:p>
    <w:p>
      <w:pPr>
        <w:ind w:left="980" w:hanging="490"/>
        <w:spacing w:after="0" w:line="282" w:lineRule="auto"/>
        <w:tabs>
          <w:tab w:leader="none" w:pos="980" w:val="left"/>
        </w:tabs>
        <w:numPr>
          <w:ilvl w:val="0"/>
          <w:numId w:val="19"/>
        </w:numPr>
        <w:rPr>
          <w:rFonts w:ascii="Arial" w:cs="Arial" w:eastAsia="Arial" w:hAnsi="Arial"/>
          <w:sz w:val="20"/>
          <w:szCs w:val="20"/>
          <w:color w:val="231F20"/>
        </w:rPr>
      </w:pPr>
      <w:r>
        <w:rPr>
          <w:rFonts w:ascii="Arial" w:cs="Arial" w:eastAsia="Arial" w:hAnsi="Arial"/>
          <w:sz w:val="20"/>
          <w:szCs w:val="20"/>
          <w:color w:val="231F20"/>
        </w:rPr>
        <w:t>obtain approval with labeling that includes significant use or distribution restrictions or safety warnings, such as black box warnings or a REMS program;</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19"/>
        </w:numPr>
        <w:rPr>
          <w:rFonts w:ascii="Arial" w:cs="Arial" w:eastAsia="Arial" w:hAnsi="Arial"/>
          <w:sz w:val="20"/>
          <w:szCs w:val="20"/>
          <w:color w:val="231F20"/>
        </w:rPr>
      </w:pPr>
      <w:r>
        <w:rPr>
          <w:rFonts w:ascii="Arial" w:cs="Arial" w:eastAsia="Arial" w:hAnsi="Arial"/>
          <w:sz w:val="20"/>
          <w:szCs w:val="20"/>
          <w:color w:val="231F20"/>
        </w:rPr>
        <w:t>be subject to additional post-marketing testing requirements; or</w:t>
      </w:r>
    </w:p>
    <w:p>
      <w:pPr>
        <w:sectPr>
          <w:pgSz w:w="11880" w:h="15480" w:orient="portrait"/>
          <w:cols w:equalWidth="0" w:num="1">
            <w:col w:w="10760"/>
          </w:cols>
          <w:pgMar w:left="540" w:top="764" w:right="580" w:bottom="0" w:gutter="0" w:footer="0" w:header="0"/>
        </w:sectPr>
      </w:pP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760"/>
          </w:cols>
          <w:pgMar w:left="540" w:top="764" w:right="580" w:bottom="0" w:gutter="0" w:footer="0" w:header="0"/>
          <w:type w:val="continuous"/>
        </w:sectPr>
      </w:pPr>
    </w:p>
    <w:bookmarkStart w:id="31" w:name="page32"/>
    <w:bookmarkEnd w:id="31"/>
    <w:p>
      <w:pPr>
        <w:ind w:left="980" w:hanging="490"/>
        <w:spacing w:after="0"/>
        <w:tabs>
          <w:tab w:leader="none" w:pos="980" w:val="left"/>
        </w:tabs>
        <w:numPr>
          <w:ilvl w:val="0"/>
          <w:numId w:val="20"/>
        </w:numPr>
        <w:rPr>
          <w:rFonts w:ascii="Arial" w:cs="Arial" w:eastAsia="Arial" w:hAnsi="Arial"/>
          <w:sz w:val="20"/>
          <w:szCs w:val="20"/>
          <w:color w:val="231F20"/>
        </w:rPr>
      </w:pPr>
      <w:r>
        <w:rPr>
          <w:rFonts w:ascii="Arial" w:cs="Arial" w:eastAsia="Arial" w:hAnsi="Arial"/>
          <w:sz w:val="20"/>
          <w:szCs w:val="20"/>
          <w:color w:val="231F20"/>
        </w:rPr>
        <w:t>be required to remove the product from the market after obtaining regulatory approval.</w:t>
      </w:r>
    </w:p>
    <w:p>
      <w:pPr>
        <w:spacing w:after="0" w:line="240" w:lineRule="exact"/>
        <w:rPr>
          <w:sz w:val="20"/>
          <w:szCs w:val="20"/>
          <w:color w:val="auto"/>
        </w:rPr>
      </w:pPr>
    </w:p>
    <w:p>
      <w:pPr>
        <w:ind w:right="180" w:firstLine="490"/>
        <w:spacing w:after="0" w:line="248" w:lineRule="auto"/>
        <w:rPr>
          <w:sz w:val="20"/>
          <w:szCs w:val="20"/>
          <w:color w:val="auto"/>
        </w:rPr>
      </w:pPr>
      <w:r>
        <w:rPr>
          <w:rFonts w:ascii="Arial" w:cs="Arial" w:eastAsia="Arial" w:hAnsi="Arial"/>
          <w:sz w:val="20"/>
          <w:szCs w:val="20"/>
          <w:color w:val="231F20"/>
        </w:rPr>
        <w:t>We do not know whether any of our preclinical and nonclinical studies or clinical trials will begin as planned, will need to be restructured, or will be completed on schedule or at all. Significant preclinical and nonclinical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In addition, many of the factors that cause, or lead to, delays of clinical trials may ultimately lead to the denial of regulatory approval of our product candidates.</w:t>
      </w:r>
    </w:p>
    <w:p>
      <w:pPr>
        <w:spacing w:after="0" w:line="318" w:lineRule="exact"/>
        <w:rPr>
          <w:sz w:val="20"/>
          <w:szCs w:val="20"/>
          <w:color w:val="auto"/>
        </w:rPr>
      </w:pPr>
    </w:p>
    <w:p>
      <w:pPr>
        <w:ind w:right="980"/>
        <w:spacing w:after="0" w:line="289" w:lineRule="auto"/>
        <w:rPr>
          <w:sz w:val="20"/>
          <w:szCs w:val="20"/>
          <w:color w:val="auto"/>
        </w:rPr>
      </w:pPr>
      <w:r>
        <w:rPr>
          <w:rFonts w:ascii="Arial" w:cs="Arial" w:eastAsia="Arial" w:hAnsi="Arial"/>
          <w:sz w:val="20"/>
          <w:szCs w:val="20"/>
          <w:b w:val="1"/>
          <w:bCs w:val="1"/>
          <w:i w:val="1"/>
          <w:iCs w:val="1"/>
          <w:color w:val="231F20"/>
        </w:rPr>
        <w:t>We cannot predict whether or when bacteria may develop resistance to any of our antibacterial product candidates, which could affect the revenue potential of our product candidates.</w:t>
      </w:r>
    </w:p>
    <w:p>
      <w:pPr>
        <w:spacing w:after="0" w:line="22"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We are developing certain of our product candidates to treat bacterial infections. The bacteria responsible for these infections evolve quickly and may develop antibiotic resistance caused by spontaneous mutations in the genes encoding the cellular target of the antibiotic. In some cases, resistance mechanisms can be transferred within and between bacterial species. Prescription or use of our product candidates, if approved, could depend on the type and rate of resistance of the targeted bacteria. Although we do intend to analyze the potential of emergence of resistance to our product candidates and only select those that we believe have low resistance potential, we cannot predict whether or when bacterial resistance may develop. Such bacterial resistances, if and when identified, could adversely affect the conduct or results of our clinical trials, and could adversely affect the market potential of the product candidate, if approved. The growth of drug-resistant infections in community settings or in countries with poor public health infrastructures, or the potential use of any product candidates outside of controlled hospital settings, could contribute to the rise of resistance.</w:t>
      </w:r>
    </w:p>
    <w:p>
      <w:pPr>
        <w:spacing w:after="0" w:line="326" w:lineRule="exact"/>
        <w:rPr>
          <w:sz w:val="20"/>
          <w:szCs w:val="20"/>
          <w:color w:val="auto"/>
        </w:rPr>
      </w:pPr>
    </w:p>
    <w:p>
      <w:pPr>
        <w:jc w:val="both"/>
        <w:ind w:right="60"/>
        <w:spacing w:after="0" w:line="264" w:lineRule="auto"/>
        <w:rPr>
          <w:sz w:val="20"/>
          <w:szCs w:val="20"/>
          <w:color w:val="auto"/>
        </w:rPr>
      </w:pPr>
      <w:r>
        <w:rPr>
          <w:rFonts w:ascii="Arial" w:cs="Arial" w:eastAsia="Arial" w:hAnsi="Arial"/>
          <w:sz w:val="20"/>
          <w:szCs w:val="20"/>
          <w:b w:val="1"/>
          <w:bCs w:val="1"/>
          <w:i w:val="1"/>
          <w:iCs w:val="1"/>
          <w:color w:val="231F20"/>
        </w:rPr>
        <w:t>Our product candidates may cause undesirable side effects or have other properties that could delay or prevent their regulatory approval, limit the commercial potential, or result in significant negative consequences following any potential regulatory approval.</w:t>
      </w:r>
    </w:p>
    <w:p>
      <w:pPr>
        <w:spacing w:after="0" w:line="47" w:lineRule="exact"/>
        <w:rPr>
          <w:sz w:val="20"/>
          <w:szCs w:val="20"/>
          <w:color w:val="auto"/>
        </w:rPr>
      </w:pPr>
    </w:p>
    <w:p>
      <w:pPr>
        <w:ind w:right="300" w:firstLine="490"/>
        <w:spacing w:after="0" w:line="246" w:lineRule="auto"/>
        <w:rPr>
          <w:sz w:val="20"/>
          <w:szCs w:val="20"/>
          <w:color w:val="auto"/>
        </w:rPr>
      </w:pPr>
      <w:r>
        <w:rPr>
          <w:rFonts w:ascii="Arial" w:cs="Arial" w:eastAsia="Arial" w:hAnsi="Arial"/>
          <w:sz w:val="20"/>
          <w:szCs w:val="20"/>
          <w:color w:val="231F20"/>
        </w:rPr>
        <w:t>Results of our clinical trials could reveal a high and unacceptable severity and prevalence of side effects or unexpected characteristics. Undesirable side effects caused by our product candidates, whether used alone on in combination with other therapies, could cause us or regulatory authorities to interrupt, delay or halt clinical trials or the delay or denial of regulatory approval by the FDA or comparable foreign regulatory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results of operations and growth prospects significantly.</w:t>
      </w:r>
    </w:p>
    <w:p>
      <w:pPr>
        <w:spacing w:after="0" w:line="194" w:lineRule="exact"/>
        <w:rPr>
          <w:sz w:val="20"/>
          <w:szCs w:val="20"/>
          <w:color w:val="auto"/>
        </w:rPr>
      </w:pPr>
    </w:p>
    <w:p>
      <w:pPr>
        <w:ind w:right="120" w:firstLine="490"/>
        <w:spacing w:after="0" w:line="244" w:lineRule="auto"/>
        <w:rPr>
          <w:sz w:val="20"/>
          <w:szCs w:val="20"/>
          <w:color w:val="auto"/>
        </w:rPr>
      </w:pPr>
      <w:r>
        <w:rPr>
          <w:rFonts w:ascii="Arial" w:cs="Arial" w:eastAsia="Arial" w:hAnsi="Arial"/>
          <w:sz w:val="20"/>
          <w:szCs w:val="20"/>
          <w:color w:val="231F20"/>
        </w:rPr>
        <w:t>Additional adverse events may emerge (along with additional data further defining previously identified risks) in any ongoing or subsequent clinical trials and there may be unforeseen serious adverse events or side effects that differ from those seen in studies completed to date. It is possible that as we test our product candidates in larger, longer and more extensive clinical programs, or as use of such product candidates becomes more widespread, if they receive regulatory approval, subjects will report illnesses, injuries, discomforts and other adverse events that were not observed in earlier trials, as well as conditions that did not occur or went undetected in previous trials. Many times, side effects are only detectable after investigational drugs are tested in large-scale clinical trials or, in some cases, after they are made available to patients on a commercial scale after approval. If additional clinical experience indicates that any of our product candidates has unexpected side effects or causes serious or life-threatening side effects, the development of the product candidate may fail or be delayed, or, if the product candidate has received regulatory approval, such approval may be revoked, which would harm our business.</w:t>
      </w:r>
    </w:p>
    <w:p>
      <w:pPr>
        <w:spacing w:after="0" w:line="198" w:lineRule="exact"/>
        <w:rPr>
          <w:sz w:val="20"/>
          <w:szCs w:val="20"/>
          <w:color w:val="auto"/>
        </w:rPr>
      </w:pPr>
    </w:p>
    <w:p>
      <w:pPr>
        <w:ind w:right="100" w:firstLine="490"/>
        <w:spacing w:after="0" w:line="246" w:lineRule="auto"/>
        <w:rPr>
          <w:sz w:val="20"/>
          <w:szCs w:val="20"/>
          <w:color w:val="auto"/>
        </w:rPr>
      </w:pPr>
      <w:r>
        <w:rPr>
          <w:rFonts w:ascii="Arial" w:cs="Arial" w:eastAsia="Arial" w:hAnsi="Arial"/>
          <w:sz w:val="20"/>
          <w:szCs w:val="20"/>
          <w:color w:val="231F20"/>
        </w:rPr>
        <w:t>Even if we believe our product candidates demonstrate clinical efficacy, any unacceptable adverse side effects or toxicities, when administered in the presence of other pharmaceutical products, which can arise at any stage of development, may outweigh potential benefits. We may observe adverse or significant adverse events or drug-drug interactions in future preclinical studies or clinical trial candidates, which could result in the delay or termination of development, prevent regulatory approval or limit market acceptance if ultimately approved. For example, we have observed cases of anemia in patients receiving epetraborole, and though we believe these reported adverse events have not been serious in nature or otherwise suggestive of a material safety issue, consistent imbalances in observed adverse events between active and placebo arms could adversely affect the integrity of a study blind and subsequent trial data.</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800"/>
          </w:cols>
          <w:pgMar w:left="540" w:top="764" w:right="540" w:bottom="0" w:gutter="0" w:footer="0" w:header="0"/>
          <w:type w:val="continuous"/>
        </w:sectPr>
      </w:pPr>
    </w:p>
    <w:bookmarkStart w:id="32" w:name="page33"/>
    <w:bookmarkEnd w:id="32"/>
    <w:p>
      <w:pPr>
        <w:ind w:right="440" w:firstLine="490"/>
        <w:spacing w:after="0" w:line="261" w:lineRule="auto"/>
        <w:rPr>
          <w:sz w:val="20"/>
          <w:szCs w:val="20"/>
          <w:color w:val="auto"/>
        </w:rPr>
      </w:pPr>
      <w:r>
        <w:rPr>
          <w:rFonts w:ascii="Arial" w:cs="Arial" w:eastAsia="Arial" w:hAnsi="Arial"/>
          <w:sz w:val="20"/>
          <w:szCs w:val="20"/>
          <w:color w:val="231F20"/>
        </w:rPr>
        <w:t>Moreover, if we elect, or are required, to delay, suspend or terminate any clinical trial of any of our product candidates, the commercial prospects of such product candidate may be harmed and our ability to generate revenue through its sale may be delayed or eliminated. Any of these occurrences may significantly harm our business.</w:t>
      </w:r>
    </w:p>
    <w:p>
      <w:pPr>
        <w:spacing w:after="0" w:line="180" w:lineRule="exact"/>
        <w:rPr>
          <w:sz w:val="20"/>
          <w:szCs w:val="20"/>
          <w:color w:val="auto"/>
        </w:rPr>
      </w:pPr>
    </w:p>
    <w:p>
      <w:pPr>
        <w:ind w:right="160" w:firstLine="490"/>
        <w:spacing w:after="0" w:line="248" w:lineRule="auto"/>
        <w:rPr>
          <w:sz w:val="20"/>
          <w:szCs w:val="20"/>
          <w:color w:val="auto"/>
        </w:rPr>
      </w:pPr>
      <w:r>
        <w:rPr>
          <w:rFonts w:ascii="Arial" w:cs="Arial" w:eastAsia="Arial" w:hAnsi="Arial"/>
          <w:sz w:val="20"/>
          <w:szCs w:val="20"/>
          <w:color w:val="231F20"/>
        </w:rPr>
        <w:t>Additionally, if any of our product candidates receive regulatory approval, regulatory authorities may require the addition of labeling statements, such as a “black box” warning or a contraindication, or the adoption of a REMS program to ensure that the benefits outweigh its risks, which may include, among other things, a medication guide outlining the risks of the drug for distribution to patients and a communication plan to health care practitioners. Furthermore, if we or others later identify undesirable side effects caused by any product candidates, several potentially significant negative consequences could result, including:</w:t>
      </w:r>
    </w:p>
    <w:p>
      <w:pPr>
        <w:spacing w:after="0" w:line="88" w:lineRule="exact"/>
        <w:rPr>
          <w:sz w:val="20"/>
          <w:szCs w:val="20"/>
          <w:color w:val="auto"/>
        </w:rPr>
      </w:pPr>
    </w:p>
    <w:p>
      <w:pPr>
        <w:ind w:left="980" w:right="400" w:hanging="490"/>
        <w:spacing w:after="0" w:line="282" w:lineRule="auto"/>
        <w:tabs>
          <w:tab w:leader="none" w:pos="98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regulatory authorities may suspend or withdraw approvals of such product candidate, or we may decide to suspend marketing or remove a product from the marketplace;</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regulatory authorities may require additional warnings on the label or impose distribution or use restrictions;</w:t>
      </w:r>
    </w:p>
    <w:p>
      <w:pPr>
        <w:spacing w:after="0" w:line="133" w:lineRule="exact"/>
        <w:rPr>
          <w:rFonts w:ascii="Arial" w:cs="Arial" w:eastAsia="Arial" w:hAnsi="Arial"/>
          <w:sz w:val="20"/>
          <w:szCs w:val="20"/>
          <w:color w:val="231F20"/>
        </w:rPr>
      </w:pPr>
    </w:p>
    <w:p>
      <w:pPr>
        <w:ind w:left="980" w:right="20" w:hanging="490"/>
        <w:spacing w:after="0" w:line="282" w:lineRule="auto"/>
        <w:tabs>
          <w:tab w:leader="none" w:pos="98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we may be required to change the way a product candidate is administered or conduct additional clinical trials, including one or more post-marketing research studies;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we could be sued and held liable for harm caused to patients;</w:t>
      </w:r>
    </w:p>
    <w:p>
      <w:pPr>
        <w:spacing w:after="0" w:line="133" w:lineRule="exact"/>
        <w:rPr>
          <w:rFonts w:ascii="Arial" w:cs="Arial" w:eastAsia="Arial" w:hAnsi="Arial"/>
          <w:sz w:val="20"/>
          <w:szCs w:val="20"/>
          <w:color w:val="231F20"/>
        </w:rPr>
      </w:pPr>
    </w:p>
    <w:p>
      <w:pPr>
        <w:ind w:left="980" w:right="400" w:hanging="490"/>
        <w:spacing w:after="0" w:line="282" w:lineRule="auto"/>
        <w:tabs>
          <w:tab w:leader="none" w:pos="98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we may be required to implement REMS, including the creation of a medication guide outlining the risks of such side effects for distribution to patients;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we could be subject to fines, injunctions or the imposition of criminal or civil penalties;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we may need to conduct a recall or comparable post-marketing action;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our reputation may suffer.</w:t>
      </w:r>
    </w:p>
    <w:p>
      <w:pPr>
        <w:spacing w:after="0" w:line="240" w:lineRule="exact"/>
        <w:rPr>
          <w:sz w:val="20"/>
          <w:szCs w:val="20"/>
          <w:color w:val="auto"/>
        </w:rPr>
      </w:pPr>
    </w:p>
    <w:p>
      <w:pPr>
        <w:ind w:right="520" w:firstLine="490"/>
        <w:spacing w:after="0" w:line="254" w:lineRule="auto"/>
        <w:rPr>
          <w:sz w:val="20"/>
          <w:szCs w:val="20"/>
          <w:color w:val="auto"/>
        </w:rPr>
      </w:pPr>
      <w:r>
        <w:rPr>
          <w:rFonts w:ascii="Arial" w:cs="Arial" w:eastAsia="Arial" w:hAnsi="Arial"/>
          <w:sz w:val="20"/>
          <w:szCs w:val="20"/>
          <w:color w:val="231F20"/>
        </w:rPr>
        <w:t>Any of these events could prevent us from achieving or maintaining market acceptance of the affected product candidate, if approved, or could substantially increase commercialization costs and expenses, which could delay or prevent us from generating revenue from the sale of our product candidates and harm our business and results of operations.</w:t>
      </w:r>
    </w:p>
    <w:p>
      <w:pPr>
        <w:spacing w:after="0" w:line="310" w:lineRule="exact"/>
        <w:rPr>
          <w:sz w:val="20"/>
          <w:szCs w:val="20"/>
          <w:color w:val="auto"/>
        </w:rPr>
      </w:pPr>
    </w:p>
    <w:p>
      <w:pPr>
        <w:ind w:right="540"/>
        <w:spacing w:after="0" w:line="289" w:lineRule="auto"/>
        <w:rPr>
          <w:sz w:val="20"/>
          <w:szCs w:val="20"/>
          <w:color w:val="auto"/>
        </w:rPr>
      </w:pPr>
      <w:r>
        <w:rPr>
          <w:rFonts w:ascii="Arial" w:cs="Arial" w:eastAsia="Arial" w:hAnsi="Arial"/>
          <w:sz w:val="20"/>
          <w:szCs w:val="20"/>
          <w:b w:val="1"/>
          <w:bCs w:val="1"/>
          <w:i w:val="1"/>
          <w:iCs w:val="1"/>
          <w:color w:val="231F20"/>
        </w:rPr>
        <w:t>If we are not successful in discovering, developing and commercializing additional product candidates, our ability to expand our business and achieve our strategic objectives would be impaired.</w:t>
      </w:r>
    </w:p>
    <w:p>
      <w:pPr>
        <w:spacing w:after="0" w:line="22" w:lineRule="exact"/>
        <w:rPr>
          <w:sz w:val="20"/>
          <w:szCs w:val="20"/>
          <w:color w:val="auto"/>
        </w:rPr>
      </w:pPr>
    </w:p>
    <w:p>
      <w:pPr>
        <w:ind w:right="40" w:firstLine="489"/>
        <w:spacing w:after="0" w:line="244" w:lineRule="auto"/>
        <w:rPr>
          <w:sz w:val="20"/>
          <w:szCs w:val="20"/>
          <w:color w:val="auto"/>
        </w:rPr>
      </w:pPr>
      <w:r>
        <w:rPr>
          <w:rFonts w:ascii="Arial" w:cs="Arial" w:eastAsia="Arial" w:hAnsi="Arial"/>
          <w:sz w:val="20"/>
          <w:szCs w:val="20"/>
          <w:color w:val="231F20"/>
        </w:rPr>
        <w:t>Although a substantial amount of our effort will focus on potential clinical testing and potential regulatory approval of our product candidates, an element of our strategy is to discover, develop and commercialize a portfolio of product candidates to treat diseases with high unmet need. We are seeking to do so by utilizing our targeted-design AN2 drug discovery platform, which uses bacterial genomics and state-of-the-art molecular and dynamic models to design active new compounds that target known mechanisms. We focus our clinical development on pathogens, drug targets, and patients with high, unmet medical needs to leverage the development and regulatory paths available for first-in-class or best-in-class therapeutics. Research efforts to identify and develop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95" w:lineRule="exact"/>
        <w:rPr>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the research methodology used may not be successful in identifying potential product candidates;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competitors may develop alternatives that render our product candidates obsolete or less attractive;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product candidates we develop may nevertheless be covered by third parties’ patents or other exclusive rights;</w:t>
      </w:r>
    </w:p>
    <w:p>
      <w:pPr>
        <w:spacing w:after="0" w:line="145" w:lineRule="exact"/>
        <w:rPr>
          <w:rFonts w:ascii="Arial" w:cs="Arial" w:eastAsia="Arial" w:hAnsi="Arial"/>
          <w:sz w:val="19"/>
          <w:szCs w:val="19"/>
          <w:color w:val="231F20"/>
        </w:rPr>
      </w:pPr>
    </w:p>
    <w:p>
      <w:pPr>
        <w:ind w:left="980" w:right="400" w:hanging="490"/>
        <w:spacing w:after="0" w:line="282" w:lineRule="auto"/>
        <w:tabs>
          <w:tab w:leader="none" w:pos="98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a product candidate may reveal harmful side effects or other characteristics that indicate it is unlikely to be effective or otherwise does not meet applicable regulatory criteria;</w:t>
      </w:r>
    </w:p>
    <w:p>
      <w:pPr>
        <w:spacing w:after="0" w:line="53" w:lineRule="exact"/>
        <w:rPr>
          <w:rFonts w:ascii="Arial" w:cs="Arial" w:eastAsia="Arial" w:hAnsi="Arial"/>
          <w:sz w:val="20"/>
          <w:szCs w:val="20"/>
          <w:color w:val="231F20"/>
        </w:rPr>
      </w:pPr>
    </w:p>
    <w:p>
      <w:pPr>
        <w:ind w:left="980" w:right="120" w:hanging="490"/>
        <w:spacing w:after="0" w:line="282" w:lineRule="auto"/>
        <w:tabs>
          <w:tab w:leader="none" w:pos="98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a product candidate may not be capable of being produced in commercial quantities at an acceptable cost, or at all;</w:t>
      </w:r>
    </w:p>
    <w:p>
      <w:pPr>
        <w:spacing w:after="0" w:line="53" w:lineRule="exact"/>
        <w:rPr>
          <w:rFonts w:ascii="Arial" w:cs="Arial" w:eastAsia="Arial" w:hAnsi="Arial"/>
          <w:sz w:val="20"/>
          <w:szCs w:val="20"/>
          <w:color w:val="231F20"/>
        </w:rPr>
      </w:pPr>
    </w:p>
    <w:p>
      <w:pPr>
        <w:ind w:left="980" w:right="140" w:hanging="490"/>
        <w:spacing w:after="0" w:line="282" w:lineRule="auto"/>
        <w:tabs>
          <w:tab w:leader="none" w:pos="98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a product candidate may not be accepted as safe, tolerable and effective by patients, the medical community or third-party payors, if applicable; and</w:t>
      </w:r>
    </w:p>
    <w:p>
      <w:pPr>
        <w:spacing w:after="0" w:line="53" w:lineRule="exact"/>
        <w:rPr>
          <w:rFonts w:ascii="Arial" w:cs="Arial" w:eastAsia="Arial" w:hAnsi="Arial"/>
          <w:sz w:val="20"/>
          <w:szCs w:val="20"/>
          <w:color w:val="231F20"/>
        </w:rPr>
      </w:pPr>
    </w:p>
    <w:p>
      <w:pPr>
        <w:ind w:left="980" w:right="540" w:hanging="490"/>
        <w:spacing w:after="0" w:line="282" w:lineRule="auto"/>
        <w:tabs>
          <w:tab w:leader="none" w:pos="98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the FDA or other regulatory authorities may not approve or agree with the intended use of a new product candidate.</w:t>
      </w:r>
    </w:p>
    <w:p>
      <w:pPr>
        <w:sectPr>
          <w:pgSz w:w="11880" w:h="15480" w:orient="portrait"/>
          <w:cols w:equalWidth="0" w:num="1">
            <w:col w:w="10740"/>
          </w:cols>
          <w:pgMar w:left="540" w:top="750" w:right="600" w:bottom="0" w:gutter="0" w:footer="0" w:header="0"/>
        </w:sectPr>
      </w:pPr>
    </w:p>
    <w:p>
      <w:pPr>
        <w:spacing w:after="0" w:line="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740"/>
          </w:cols>
          <w:pgMar w:left="540" w:top="750" w:right="600" w:bottom="0" w:gutter="0" w:footer="0" w:header="0"/>
          <w:type w:val="continuous"/>
        </w:sectPr>
      </w:pPr>
    </w:p>
    <w:bookmarkStart w:id="33" w:name="page34"/>
    <w:bookmarkEnd w:id="33"/>
    <w:p>
      <w:pPr>
        <w:ind w:right="80" w:firstLine="490"/>
        <w:spacing w:after="0" w:line="261" w:lineRule="auto"/>
        <w:rPr>
          <w:sz w:val="20"/>
          <w:szCs w:val="20"/>
          <w:color w:val="auto"/>
        </w:rPr>
      </w:pPr>
      <w:r>
        <w:rPr>
          <w:rFonts w:ascii="Arial" w:cs="Arial" w:eastAsia="Arial" w:hAnsi="Arial"/>
          <w:sz w:val="20"/>
          <w:szCs w:val="20"/>
          <w:color w:val="231F20"/>
        </w:rPr>
        <w:t>If we fail to develop and successfully commercialize our product candidates, our business and future prospects may be harmed and our business will be more vulnerable to any problems that we encounter in developing and commercializing our product candidates.</w:t>
      </w:r>
    </w:p>
    <w:p>
      <w:pPr>
        <w:spacing w:after="0" w:line="304" w:lineRule="exact"/>
        <w:rPr>
          <w:sz w:val="20"/>
          <w:szCs w:val="20"/>
          <w:color w:val="auto"/>
        </w:rPr>
      </w:pPr>
    </w:p>
    <w:p>
      <w:pPr>
        <w:ind w:right="560"/>
        <w:spacing w:after="0" w:line="289" w:lineRule="auto"/>
        <w:rPr>
          <w:sz w:val="20"/>
          <w:szCs w:val="20"/>
          <w:color w:val="auto"/>
        </w:rPr>
      </w:pPr>
      <w:r>
        <w:rPr>
          <w:rFonts w:ascii="Arial" w:cs="Arial" w:eastAsia="Arial" w:hAnsi="Arial"/>
          <w:sz w:val="20"/>
          <w:szCs w:val="20"/>
          <w:b w:val="1"/>
          <w:bCs w:val="1"/>
          <w:i w:val="1"/>
          <w:iCs w:val="1"/>
          <w:color w:val="231F20"/>
        </w:rPr>
        <w:t>If we experience delays or difficulties in the enrollment of patients in clinical trials, our clinical development activities and receipt of necessary regulatory approvals could be delayed or prevented.</w:t>
      </w:r>
    </w:p>
    <w:p>
      <w:pPr>
        <w:spacing w:after="0" w:line="22"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231F20"/>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continue or complete clinical trials of any product candidates that we develop if we are unable to locate and enroll a sufficient number of eligible patients to participate in these trials, as required by the FDA or other comparable regulatory authorities. We have limited experience enrolling patients in our clinical trials and cannot predict how successful we will be in enrolling patients in future clinical trials.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Patient enrollment is also affected by other factors including:</w:t>
      </w:r>
    </w:p>
    <w:p>
      <w:pPr>
        <w:spacing w:after="0" w:line="134" w:lineRule="exact"/>
        <w:rPr>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the size and nature of the targeted patient population;</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the severity of the disease under investigation;</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the proximity and availability of clinical trial sites for prospective patients;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the eligibility criteria for participation in the clinical trial;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the design of the clinical trial;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the perceived risks and benefits of the product candidate under study;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our ability to recruit clinical trial investigators with appropriate experience;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efforts to facility timely enrollment in clinical trials;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the availability and efficacy of drugs approved to treat the diseases under study;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the patient referral practices of physicians;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our ability to obtain and maintain patient consents;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the ability to monitor patients adequately during and after treatment;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the risk that patients enrolled in clinical trials will drop out of the trials before completion.</w:t>
      </w:r>
    </w:p>
    <w:p>
      <w:pPr>
        <w:spacing w:after="0" w:line="240" w:lineRule="exact"/>
        <w:rPr>
          <w:sz w:val="20"/>
          <w:szCs w:val="20"/>
          <w:color w:val="auto"/>
        </w:rPr>
      </w:pPr>
    </w:p>
    <w:p>
      <w:pPr>
        <w:ind w:right="40" w:firstLine="490"/>
        <w:spacing w:after="0" w:line="254" w:lineRule="auto"/>
        <w:rPr>
          <w:sz w:val="20"/>
          <w:szCs w:val="20"/>
          <w:color w:val="auto"/>
        </w:rPr>
      </w:pPr>
      <w:r>
        <w:rPr>
          <w:rFonts w:ascii="Arial" w:cs="Arial" w:eastAsia="Arial" w:hAnsi="Arial"/>
          <w:sz w:val="20"/>
          <w:szCs w:val="20"/>
          <w:color w:val="231F20"/>
        </w:rPr>
        <w:t xml:space="preserve">In particular, we may face delays and difficulties in enrollment in our planned trials of certain of our product candidates because PV, </w:t>
      </w:r>
      <w:r>
        <w:rPr>
          <w:rFonts w:ascii="Arial" w:cs="Arial" w:eastAsia="Arial" w:hAnsi="Arial"/>
          <w:sz w:val="20"/>
          <w:szCs w:val="20"/>
          <w:i w:val="1"/>
          <w:iCs w:val="1"/>
          <w:color w:val="231F20"/>
        </w:rPr>
        <w:t>M. abscessus,</w:t>
      </w:r>
      <w:r>
        <w:rPr>
          <w:rFonts w:ascii="Arial" w:cs="Arial" w:eastAsia="Arial" w:hAnsi="Arial"/>
          <w:sz w:val="20"/>
          <w:szCs w:val="20"/>
          <w:color w:val="231F20"/>
        </w:rPr>
        <w:t xml:space="preserve"> Chagas disease and certain other conditions we may target include rare diseases (i.e., the size of the targeted patient population is small). Because of this, we may experience difficulties in recruiting sufficient patients into certain of our planned clinical trials.</w:t>
      </w:r>
    </w:p>
    <w:p>
      <w:pPr>
        <w:spacing w:after="0" w:line="186"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231F20"/>
        </w:rPr>
        <w:t>Additionally, other pharmaceutical companies and research institutions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clinical trials would result in significant delays and could require us to abandon one or more clinical trials altogether. We have experienced enrollment delays in the past. Enrollment delays in these clinical trials may result in further increased development costs for our product candidates, which would reduce the capital we have available to support our current and future product candidates and may result in our need to raise additional capital earlier than planned and could cause the value of our common stock to decline and limit our ability to obtain additional financing.</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780"/>
          </w:cols>
          <w:pgMar w:left="540" w:top="750" w:right="560" w:bottom="0" w:gutter="0" w:footer="0" w:header="0"/>
          <w:type w:val="continuous"/>
        </w:sectPr>
      </w:pPr>
    </w:p>
    <w:bookmarkStart w:id="34" w:name="page35"/>
    <w:bookmarkEnd w:id="34"/>
    <w:p>
      <w:pPr>
        <w:ind w:right="20"/>
        <w:spacing w:after="0" w:line="316" w:lineRule="auto"/>
        <w:rPr>
          <w:sz w:val="20"/>
          <w:szCs w:val="20"/>
          <w:color w:val="auto"/>
        </w:rPr>
      </w:pPr>
      <w:r>
        <w:rPr>
          <w:rFonts w:ascii="Arial" w:cs="Arial" w:eastAsia="Arial" w:hAnsi="Arial"/>
          <w:sz w:val="19"/>
          <w:szCs w:val="19"/>
          <w:b w:val="1"/>
          <w:bCs w:val="1"/>
          <w:i w:val="1"/>
          <w:iCs w:val="1"/>
          <w:color w:val="231F20"/>
        </w:rPr>
        <w:t>We may expend our limited resources to pursue a particular product candidate or indication and fail to capitalize on product candidates or indications that may be more profitable or have a greater likelihood of success.</w:t>
      </w:r>
    </w:p>
    <w:p>
      <w:pPr>
        <w:spacing w:after="0" w:line="1"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231F20"/>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21"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b w:val="1"/>
          <w:bCs w:val="1"/>
          <w:i w:val="1"/>
          <w:iCs w:val="1"/>
          <w:color w:val="231F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7"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231F20"/>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202" w:lineRule="exact"/>
        <w:rPr>
          <w:sz w:val="20"/>
          <w:szCs w:val="20"/>
          <w:color w:val="auto"/>
        </w:rPr>
      </w:pPr>
    </w:p>
    <w:p>
      <w:pPr>
        <w:ind w:right="260" w:firstLine="490"/>
        <w:spacing w:after="0" w:line="271" w:lineRule="auto"/>
        <w:rPr>
          <w:sz w:val="20"/>
          <w:szCs w:val="20"/>
          <w:color w:val="auto"/>
        </w:rPr>
      </w:pPr>
      <w:r>
        <w:rPr>
          <w:rFonts w:ascii="Arial" w:cs="Arial" w:eastAsia="Arial" w:hAnsi="Arial"/>
          <w:sz w:val="19"/>
          <w:szCs w:val="19"/>
          <w:color w:val="231F20"/>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173"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growth prospects.</w:t>
      </w:r>
    </w:p>
    <w:p>
      <w:pPr>
        <w:sectPr>
          <w:pgSz w:w="11880" w:h="15480" w:orient="portrait"/>
          <w:cols w:equalWidth="0" w:num="1">
            <w:col w:w="10720"/>
          </w:cols>
          <w:pgMar w:left="540" w:top="754"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720"/>
          </w:cols>
          <w:pgMar w:left="540" w:top="754" w:right="620" w:bottom="0" w:gutter="0" w:footer="0" w:header="0"/>
          <w:type w:val="continuous"/>
        </w:sectPr>
      </w:pPr>
    </w:p>
    <w:bookmarkStart w:id="35" w:name="page36"/>
    <w:bookmarkEnd w:id="35"/>
    <w:p>
      <w:pPr>
        <w:ind w:right="220"/>
        <w:spacing w:after="0" w:line="264" w:lineRule="auto"/>
        <w:rPr>
          <w:sz w:val="20"/>
          <w:szCs w:val="20"/>
          <w:color w:val="auto"/>
        </w:rPr>
      </w:pPr>
      <w:r>
        <w:rPr>
          <w:rFonts w:ascii="Arial" w:cs="Arial" w:eastAsia="Arial" w:hAnsi="Arial"/>
          <w:sz w:val="20"/>
          <w:szCs w:val="20"/>
          <w:b w:val="1"/>
          <w:bCs w:val="1"/>
          <w:i w:val="1"/>
          <w:iCs w:val="1"/>
          <w:color w:val="231F20"/>
        </w:rPr>
        <w:t>We may conduct clinical trials for our product candidates outside of the U.S., and the FDA may not accept data from such trials, in which case our development plans may be delayed, which could materially harm our business.</w:t>
      </w:r>
    </w:p>
    <w:p>
      <w:pPr>
        <w:spacing w:after="0" w:line="47" w:lineRule="exact"/>
        <w:rPr>
          <w:sz w:val="20"/>
          <w:szCs w:val="20"/>
          <w:color w:val="auto"/>
        </w:rPr>
      </w:pPr>
    </w:p>
    <w:p>
      <w:pPr>
        <w:ind w:firstLine="490"/>
        <w:spacing w:after="0" w:line="242" w:lineRule="auto"/>
        <w:rPr>
          <w:sz w:val="20"/>
          <w:szCs w:val="20"/>
          <w:color w:val="auto"/>
        </w:rPr>
      </w:pPr>
      <w:r>
        <w:rPr>
          <w:rFonts w:ascii="Arial" w:cs="Arial" w:eastAsia="Arial" w:hAnsi="Arial"/>
          <w:sz w:val="20"/>
          <w:szCs w:val="20"/>
          <w:color w:val="231F20"/>
        </w:rPr>
        <w:t>We conduct and may in the future conduct one or more of our clinical trials or a portion of our clinical trials for our product candidates outside the U.S. For instance, we will be initiating a PV Phase 2 study in India.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regulatory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relevant jurisdiction. If the FDA or any comparable foreign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Risks Related to Our Dependence on Third Parties</w:t>
      </w:r>
    </w:p>
    <w:p>
      <w:pPr>
        <w:spacing w:after="0" w:line="128"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b w:val="1"/>
          <w:bCs w:val="1"/>
          <w:i w:val="1"/>
          <w:iCs w:val="1"/>
          <w:color w:val="231F20"/>
        </w:rPr>
        <w:t>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spacing w:after="0" w:line="55" w:lineRule="exact"/>
        <w:rPr>
          <w:sz w:val="20"/>
          <w:szCs w:val="20"/>
          <w:color w:val="auto"/>
        </w:rPr>
      </w:pPr>
    </w:p>
    <w:p>
      <w:pPr>
        <w:ind w:right="140" w:firstLine="490"/>
        <w:spacing w:after="0" w:line="244" w:lineRule="auto"/>
        <w:rPr>
          <w:sz w:val="20"/>
          <w:szCs w:val="20"/>
          <w:color w:val="auto"/>
        </w:rPr>
      </w:pPr>
      <w:r>
        <w:rPr>
          <w:rFonts w:ascii="Arial" w:cs="Arial" w:eastAsia="Arial" w:hAnsi="Arial"/>
          <w:sz w:val="20"/>
          <w:szCs w:val="20"/>
          <w:color w:val="231F20"/>
        </w:rPr>
        <w:t>We are dependent on third parties to conduct our clinical trials, nonclinical studies and preclinical studies. Specifically, we have engaged CROs and consultants to conduct our ongoing and planned preclinical and nonclinical studies and clinical trials, in each case in accordance with trial protocols and regulatory requirements.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preclinical and nonclinical studies, clinical trials, and manufacture of our clinical trial material. Currently, we rely on single source third-party research institutions, laboratories, clinical research and manufacturing organizations for research and development. Agreements with such third parties might terminate for a variety of reasons, including a failure to perform by the third parties. If we need to enter into alternative arrangements, or fail to enter into alternative arrangements in a timely manner, our product development activities would be delayed.</w:t>
      </w:r>
    </w:p>
    <w:p>
      <w:pPr>
        <w:spacing w:after="0" w:line="202"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231F20"/>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we and our CROs are required to comply with regulations and comply with good laboratory practice requirements for the conduct of certain preclinical studies and GCP requirements for clinical trials, which are regulations and guidelines enforced by the FDA, for conducting, recording and reporting the results of clinical trials to assure that data and reported results are credible and accurate and that the rights, integrity and confidentiality of trial participants are protected. Similar regulatory requirements apply outside the U.S., including the International Council for Harmonisation of Technical Requirements for the Registration of Pharmaceuticals for Human Use. Regulatory authorities enforce GCPs through periodic inspections of trial sponsors, principal investigators and trial sites. Failure to comply with these requirements by us or by third parties can result in FDA refusal to approve applications based on the clinical data, enforcement actions, adverse publicity and civil and criminal sanctions.</w:t>
      </w:r>
    </w:p>
    <w:p>
      <w:pPr>
        <w:sectPr>
          <w:pgSz w:w="11880" w:h="15480" w:orient="portrait"/>
          <w:cols w:equalWidth="0" w:num="1">
            <w:col w:w="10760"/>
          </w:cols>
          <w:pgMar w:left="540" w:top="75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760"/>
          </w:cols>
          <w:pgMar w:left="540" w:top="754" w:right="580" w:bottom="0" w:gutter="0" w:footer="0" w:header="0"/>
          <w:type w:val="continuous"/>
        </w:sectPr>
      </w:pPr>
    </w:p>
    <w:bookmarkStart w:id="36" w:name="page37"/>
    <w:bookmarkEnd w:id="36"/>
    <w:p>
      <w:pPr>
        <w:ind w:right="60" w:firstLine="490"/>
        <w:spacing w:after="0" w:line="245" w:lineRule="auto"/>
        <w:rPr>
          <w:sz w:val="20"/>
          <w:szCs w:val="20"/>
          <w:color w:val="auto"/>
        </w:rPr>
      </w:pPr>
      <w:r>
        <w:rPr>
          <w:rFonts w:ascii="Arial" w:cs="Arial" w:eastAsia="Arial" w:hAnsi="Arial"/>
          <w:sz w:val="20"/>
          <w:szCs w:val="20"/>
          <w:color w:val="231F20"/>
        </w:rPr>
        <w:t>There is no guarantee that any of our CROs, investigators or other third parties will devote adequate time and resources to such trials or studies or perform as contractually required. If any of these third parties fails to meet expected deadlines, adhere to our clinical protocols or meet regulatory requirements, or otherwise perform in a substandard manner, our clinical trials may be extended, delayed or terminated.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product candidates and will not be able to, or may be delayed in our efforts to, successfully commercialize such product candidates.</w:t>
      </w:r>
    </w:p>
    <w:p>
      <w:pPr>
        <w:spacing w:after="0" w:line="197"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231F20"/>
        </w:rPr>
        <w:t>In addition, principal investigators for our clinical trials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spacing w:after="0" w:line="194" w:lineRule="exact"/>
        <w:rPr>
          <w:sz w:val="20"/>
          <w:szCs w:val="20"/>
          <w:color w:val="auto"/>
        </w:rPr>
      </w:pPr>
    </w:p>
    <w:p>
      <w:pPr>
        <w:ind w:right="460" w:firstLine="490"/>
        <w:spacing w:after="0" w:line="254" w:lineRule="auto"/>
        <w:rPr>
          <w:sz w:val="20"/>
          <w:szCs w:val="20"/>
          <w:color w:val="auto"/>
        </w:rPr>
      </w:pPr>
      <w:r>
        <w:rPr>
          <w:rFonts w:ascii="Arial" w:cs="Arial" w:eastAsia="Arial" w:hAnsi="Arial"/>
          <w:sz w:val="20"/>
          <w:szCs w:val="20"/>
          <w:color w:val="231F20"/>
        </w:rPr>
        <w:t>We also expect to rely on other third parties to store and distribute product supplies for our clinical trials. Any performance failure or regulatory noncompliance on the part of our distributors could delay clinical development or regulatory approval of our product candidates or commercialization of such product candidates, resulting in additional losses and depriving us of potential product revenue.</w:t>
      </w:r>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b w:val="1"/>
          <w:bCs w:val="1"/>
          <w:i w:val="1"/>
          <w:iCs w:val="1"/>
          <w:color w:val="231F20"/>
        </w:rPr>
        <w:t>Our reliance on single-sourced third parties to manufacture our product candidates increases the risk that we will not have sufficient quantities of our product candidates or products or such quantities at an acceptable cost, which could delay, prevent or impair our development or commercialization efforts.</w:t>
      </w:r>
    </w:p>
    <w:p>
      <w:pPr>
        <w:spacing w:after="0" w:line="47"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231F20"/>
        </w:rPr>
        <w:t>We do not own or operate manufacturing facilities for the production of clinical or commercial supplies of the product candidates that we are developing or evaluating, nor are we contemplating plans to do so. We have limited personnel with experience in drug manufacturing and lack the resources and the capabilities to manufacture any of our product candidates on a clinical or commercial scale. Our strategy is to continue to outsource all manufacturing of our product candidates and approved products, if any, to third parties.</w:t>
      </w:r>
    </w:p>
    <w:p>
      <w:pPr>
        <w:spacing w:after="0" w:line="192"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231F20"/>
        </w:rPr>
        <w:t>In order to conduct clinical trials of our product candidates and prepare for commercialization, we will need to identify suitable manufacturers with the capabilities to manufacture our compounds in large quantities in a manner consistent with existing regulations. Our current and future third-party manufacturers may be unable to successfully increase the manufacturing capacity for any of our product candidates in a timely or cost-effective manner, or at all. In addition, quality issues may arise during scale-up activities at any other time. If our manufacturers are unable to successfully scale up the manufacture of our current or future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94" w:lineRule="exact"/>
        <w:rPr>
          <w:sz w:val="20"/>
          <w:szCs w:val="20"/>
          <w:color w:val="auto"/>
        </w:rPr>
      </w:pPr>
    </w:p>
    <w:p>
      <w:pPr>
        <w:ind w:right="60" w:firstLine="490"/>
        <w:spacing w:after="0" w:line="261" w:lineRule="auto"/>
        <w:rPr>
          <w:sz w:val="20"/>
          <w:szCs w:val="20"/>
          <w:color w:val="auto"/>
        </w:rPr>
      </w:pPr>
      <w:r>
        <w:rPr>
          <w:rFonts w:ascii="Arial" w:cs="Arial" w:eastAsia="Arial" w:hAnsi="Arial"/>
          <w:sz w:val="20"/>
          <w:szCs w:val="20"/>
          <w:color w:val="231F20"/>
        </w:rPr>
        <w:t>We do not currently have any agreements with third-party manufacturers for the long-term commercial supply of any of our product candidates. In the future, we may be unable to enter into agreements with third-party manufacturers for commercial supplies of such product candidates or may be unable to do so on acceptable terms.</w:t>
      </w:r>
    </w:p>
    <w:p>
      <w:pPr>
        <w:spacing w:after="0" w:line="180" w:lineRule="exact"/>
        <w:rPr>
          <w:sz w:val="20"/>
          <w:szCs w:val="20"/>
          <w:color w:val="auto"/>
        </w:rPr>
      </w:pPr>
    </w:p>
    <w:p>
      <w:pPr>
        <w:ind w:right="300" w:firstLine="490"/>
        <w:spacing w:after="0" w:line="282" w:lineRule="auto"/>
        <w:rPr>
          <w:sz w:val="20"/>
          <w:szCs w:val="20"/>
          <w:color w:val="auto"/>
        </w:rPr>
      </w:pPr>
      <w:r>
        <w:rPr>
          <w:rFonts w:ascii="Arial" w:cs="Arial" w:eastAsia="Arial" w:hAnsi="Arial"/>
          <w:sz w:val="20"/>
          <w:szCs w:val="20"/>
          <w:color w:val="231F20"/>
        </w:rPr>
        <w:t>Even if we are able to establish and maintain arrangements with third-party manufacturers, reliance on third-party manufacturers entails risks, including:</w:t>
      </w:r>
    </w:p>
    <w:p>
      <w:pPr>
        <w:spacing w:after="0" w:line="53" w:lineRule="exact"/>
        <w:rPr>
          <w:sz w:val="20"/>
          <w:szCs w:val="20"/>
          <w:color w:val="auto"/>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Arial" w:cs="Arial" w:eastAsia="Arial" w:hAnsi="Arial"/>
          <w:sz w:val="20"/>
          <w:szCs w:val="20"/>
          <w:color w:val="231F20"/>
        </w:rPr>
        <w:t>reliance on the third party for regulatory compliance and quality assurance;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Arial" w:cs="Arial" w:eastAsia="Arial" w:hAnsi="Arial"/>
          <w:sz w:val="20"/>
          <w:szCs w:val="20"/>
          <w:color w:val="231F20"/>
        </w:rPr>
        <w:t>the possible breach of the manufacturing agreement by the third party;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Arial" w:cs="Arial" w:eastAsia="Arial" w:hAnsi="Arial"/>
          <w:sz w:val="20"/>
          <w:szCs w:val="20"/>
          <w:color w:val="231F20"/>
        </w:rPr>
        <w:t>the failure of such parties to manufacture product candidates according to our specifications or on schedule;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Arial" w:cs="Arial" w:eastAsia="Arial" w:hAnsi="Arial"/>
          <w:sz w:val="20"/>
          <w:szCs w:val="20"/>
          <w:color w:val="231F20"/>
        </w:rPr>
        <w:t>the possible misappropriation of our proprietary information, including our trade secrets and know-how; and</w:t>
      </w:r>
    </w:p>
    <w:p>
      <w:pPr>
        <w:spacing w:after="0" w:line="133" w:lineRule="exact"/>
        <w:rPr>
          <w:rFonts w:ascii="Arial" w:cs="Arial" w:eastAsia="Arial" w:hAnsi="Arial"/>
          <w:sz w:val="20"/>
          <w:szCs w:val="20"/>
          <w:color w:val="231F20"/>
        </w:rPr>
      </w:pPr>
    </w:p>
    <w:p>
      <w:pPr>
        <w:ind w:left="980" w:right="1060" w:hanging="490"/>
        <w:spacing w:after="0" w:line="282" w:lineRule="auto"/>
        <w:tabs>
          <w:tab w:leader="none" w:pos="980" w:val="left"/>
        </w:tabs>
        <w:numPr>
          <w:ilvl w:val="0"/>
          <w:numId w:val="24"/>
        </w:numPr>
        <w:rPr>
          <w:rFonts w:ascii="Arial" w:cs="Arial" w:eastAsia="Arial" w:hAnsi="Arial"/>
          <w:sz w:val="20"/>
          <w:szCs w:val="20"/>
          <w:color w:val="231F20"/>
        </w:rPr>
      </w:pPr>
      <w:r>
        <w:rPr>
          <w:rFonts w:ascii="Arial" w:cs="Arial" w:eastAsia="Arial" w:hAnsi="Arial"/>
          <w:sz w:val="20"/>
          <w:szCs w:val="20"/>
          <w:color w:val="231F20"/>
        </w:rPr>
        <w:t>the possible termination or nonrenewal of the agreement by the third party at a time that is costly or inconvenient for us.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800"/>
          </w:cols>
          <w:pgMar w:left="540" w:top="750" w:right="540" w:bottom="0" w:gutter="0" w:footer="0" w:header="0"/>
          <w:type w:val="continuous"/>
        </w:sectPr>
      </w:pPr>
    </w:p>
    <w:bookmarkStart w:id="37" w:name="page38"/>
    <w:bookmarkEnd w:id="37"/>
    <w:p>
      <w:pPr>
        <w:ind w:right="40" w:firstLine="490"/>
        <w:spacing w:after="0" w:line="246" w:lineRule="auto"/>
        <w:rPr>
          <w:sz w:val="20"/>
          <w:szCs w:val="20"/>
          <w:color w:val="auto"/>
        </w:rPr>
      </w:pPr>
      <w:r>
        <w:rPr>
          <w:rFonts w:ascii="Arial" w:cs="Arial" w:eastAsia="Arial" w:hAnsi="Arial"/>
          <w:sz w:val="20"/>
          <w:szCs w:val="20"/>
          <w:color w:val="231F20"/>
        </w:rPr>
        <w:t>The facilities used by our third-party manufacturers must be approved for the manufacture of our product candidates by the FDA, or any comparable foreign regulatory authority, pursuant to inspections that will be conducted after we submit an NDA to the FDA, or submit a comparable marketing application to a foreign regulatory authority. We do not control the manufacturing process of, and are completely dependent on, third-party manufacturers for compliance with cGMP requirements for manufacture of our product candidates.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 use of their manufacturing facilities.</w:t>
      </w:r>
    </w:p>
    <w:p>
      <w:pPr>
        <w:spacing w:after="0" w:line="194"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231F20"/>
        </w:rPr>
        <w:t>In addition, we have no control over the ability of third-party manufacturers to maintain adequate quality control, quality assurance and qualified personnel.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spacing w:after="0" w:line="194" w:lineRule="exact"/>
        <w:rPr>
          <w:sz w:val="20"/>
          <w:szCs w:val="20"/>
          <w:color w:val="auto"/>
        </w:rPr>
      </w:pPr>
    </w:p>
    <w:p>
      <w:pPr>
        <w:ind w:right="100" w:firstLine="490"/>
        <w:spacing w:after="0" w:line="261" w:lineRule="auto"/>
        <w:rPr>
          <w:sz w:val="20"/>
          <w:szCs w:val="20"/>
          <w:color w:val="auto"/>
        </w:rPr>
      </w:pPr>
      <w:r>
        <w:rPr>
          <w:rFonts w:ascii="Arial" w:cs="Arial" w:eastAsia="Arial" w:hAnsi="Arial"/>
          <w:sz w:val="20"/>
          <w:szCs w:val="20"/>
          <w:color w:val="231F20"/>
        </w:rPr>
        <w:t>Our product candidates may compete with other product candidates and products for access to manufacturing facilities. There are a limited number of manufacturers that operate under cGMP regulations and that might be capable of manufacturing for us.</w:t>
      </w:r>
    </w:p>
    <w:p>
      <w:pPr>
        <w:spacing w:after="0" w:line="180" w:lineRule="exact"/>
        <w:rPr>
          <w:sz w:val="20"/>
          <w:szCs w:val="20"/>
          <w:color w:val="auto"/>
        </w:rPr>
      </w:pPr>
    </w:p>
    <w:p>
      <w:pPr>
        <w:ind w:right="160" w:firstLine="490"/>
        <w:spacing w:after="0" w:line="248" w:lineRule="auto"/>
        <w:rPr>
          <w:sz w:val="20"/>
          <w:szCs w:val="20"/>
          <w:color w:val="auto"/>
        </w:rPr>
      </w:pPr>
      <w:r>
        <w:rPr>
          <w:rFonts w:ascii="Arial" w:cs="Arial" w:eastAsia="Arial" w:hAnsi="Arial"/>
          <w:sz w:val="20"/>
          <w:szCs w:val="20"/>
          <w:color w:val="231F20"/>
        </w:rPr>
        <w:t>If the third parties that we engage to supply any materials or manufacture product for our preclinical and nonclinical studies and clinical trials should cease to continue to do so for any reason, we likely would experience delays in advancing these studies and trials while we identify and qualify replacement suppliers, and we may be unable to obtain replacement supplies on terms that are favorable to us. In addition, if we are not able to obtain adequate supplies of our product candidates or the substances used to manufacture them, it will be more difficult for us to develop such product candidates and compete effectively.</w:t>
      </w:r>
    </w:p>
    <w:p>
      <w:pPr>
        <w:spacing w:after="0" w:line="194" w:lineRule="exact"/>
        <w:rPr>
          <w:sz w:val="20"/>
          <w:szCs w:val="20"/>
          <w:color w:val="auto"/>
        </w:rPr>
      </w:pPr>
    </w:p>
    <w:p>
      <w:pPr>
        <w:ind w:right="280" w:firstLine="490"/>
        <w:spacing w:after="0" w:line="261" w:lineRule="auto"/>
        <w:rPr>
          <w:sz w:val="20"/>
          <w:szCs w:val="20"/>
          <w:color w:val="auto"/>
        </w:rPr>
      </w:pPr>
      <w:r>
        <w:rPr>
          <w:rFonts w:ascii="Arial" w:cs="Arial" w:eastAsia="Arial" w:hAnsi="Arial"/>
          <w:sz w:val="20"/>
          <w:szCs w:val="20"/>
          <w:color w:val="231F20"/>
        </w:rPr>
        <w:t>Our current and anticipated future dependence upon others for the manufacture of our product candidates may adversely affect our future profit margins and our ability to develop product candidates and commercialize any products that receive regulatory approval on a timely and competitive basis.</w:t>
      </w:r>
    </w:p>
    <w:p>
      <w:pPr>
        <w:spacing w:after="0" w:line="304" w:lineRule="exact"/>
        <w:rPr>
          <w:sz w:val="20"/>
          <w:szCs w:val="20"/>
          <w:color w:val="auto"/>
        </w:rPr>
      </w:pPr>
    </w:p>
    <w:p>
      <w:pPr>
        <w:ind w:right="280"/>
        <w:spacing w:after="0" w:line="289" w:lineRule="auto"/>
        <w:rPr>
          <w:sz w:val="20"/>
          <w:szCs w:val="20"/>
          <w:color w:val="auto"/>
        </w:rPr>
      </w:pPr>
      <w:r>
        <w:rPr>
          <w:rFonts w:ascii="Arial" w:cs="Arial" w:eastAsia="Arial" w:hAnsi="Arial"/>
          <w:sz w:val="20"/>
          <w:szCs w:val="20"/>
          <w:b w:val="1"/>
          <w:bCs w:val="1"/>
          <w:i w:val="1"/>
          <w:iCs w:val="1"/>
          <w:color w:val="231F20"/>
        </w:rPr>
        <w:t>Evaluation of our product candidates in investigator-initiated clinical trials (“IITs”) may expose us to additional risks that could impair the development of our product candidates.</w:t>
      </w:r>
    </w:p>
    <w:p>
      <w:pPr>
        <w:spacing w:after="0" w:line="22"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 xml:space="preserve">We are currently supporting an IIT evaluating epetraborole in patients with </w:t>
      </w:r>
      <w:r>
        <w:rPr>
          <w:rFonts w:ascii="Arial" w:cs="Arial" w:eastAsia="Arial" w:hAnsi="Arial"/>
          <w:sz w:val="20"/>
          <w:szCs w:val="20"/>
          <w:i w:val="1"/>
          <w:iCs w:val="1"/>
          <w:color w:val="231F20"/>
        </w:rPr>
        <w:t>M. abscessus</w:t>
      </w:r>
      <w:r>
        <w:rPr>
          <w:rFonts w:ascii="Arial" w:cs="Arial" w:eastAsia="Arial" w:hAnsi="Arial"/>
          <w:sz w:val="20"/>
          <w:szCs w:val="20"/>
          <w:color w:val="231F20"/>
        </w:rPr>
        <w:t xml:space="preserve"> lung disease, and may in the future support other IITs for our product candidates that are designed and managed by independent investigators or institutions. While we believe these clinical trials have the potential to provide supportive data that may further the development of our product candidates, we do not directly control the clinical development process, including, but not limited to, the initiation, enrollment, safety reporting, or conduct of these trials. As a result, investigator-sponsored trials may be subject to significant delays. fail to comply with GCP or other regulatory requirements. be terminated prematurely by the investigator or applicable IRBs or ethics committees, or produce data that is not useful for, or acceptable to, regulatory authorities for purposes of obtaining regulatory approval. IITs may also identify safety or tolerability concerns that could adversely affect the development of our product candidates, including through the imposition of clinical holds, or otherwise subject us to liability. Moreover, if the data from IITs differ from the data we have observed in our sponsored clinical studies, such differences could potentially require us to conduct additional clinical trials or otherwise delay or prevent regulatory approval from the FDA or other regulatory authorities. Any of these factors could adversely impact our reputation, delay our development timelines, or negatively affect our ability to obtain regulatory approval.</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800"/>
          </w:cols>
          <w:pgMar w:left="540" w:top="750" w:right="540"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color w:val="231F20"/>
        </w:rPr>
        <w:t>Risks Related to the Commercialization of Our Product Candidates</w:t>
      </w:r>
    </w:p>
    <w:p>
      <w:pPr>
        <w:spacing w:after="0" w:line="128" w:lineRule="exact"/>
        <w:rPr>
          <w:sz w:val="20"/>
          <w:szCs w:val="20"/>
          <w:color w:val="auto"/>
        </w:rPr>
      </w:pPr>
    </w:p>
    <w:p>
      <w:pPr>
        <w:ind w:right="440"/>
        <w:spacing w:after="0" w:line="264" w:lineRule="auto"/>
        <w:rPr>
          <w:sz w:val="20"/>
          <w:szCs w:val="20"/>
          <w:color w:val="auto"/>
        </w:rPr>
      </w:pPr>
      <w:r>
        <w:rPr>
          <w:rFonts w:ascii="Arial" w:cs="Arial" w:eastAsia="Arial" w:hAnsi="Arial"/>
          <w:sz w:val="20"/>
          <w:szCs w:val="20"/>
          <w:b w:val="1"/>
          <w:bCs w:val="1"/>
          <w:i w:val="1"/>
          <w:iCs w:val="1"/>
          <w:color w:val="231F20"/>
        </w:rPr>
        <w:t>Even if any of our product candidates receive regulatory approval, it may fail to achieve the degree of market acceptance by physicians, patients, third-party payors, and others in the medical community necessary for commercial success.</w:t>
      </w:r>
    </w:p>
    <w:p>
      <w:pPr>
        <w:spacing w:after="0" w:line="47" w:lineRule="exact"/>
        <w:rPr>
          <w:sz w:val="20"/>
          <w:szCs w:val="20"/>
          <w:color w:val="auto"/>
        </w:rPr>
      </w:pPr>
    </w:p>
    <w:p>
      <w:pPr>
        <w:ind w:right="60" w:firstLine="490"/>
        <w:spacing w:after="0" w:line="254" w:lineRule="auto"/>
        <w:rPr>
          <w:sz w:val="20"/>
          <w:szCs w:val="20"/>
          <w:color w:val="auto"/>
        </w:rPr>
      </w:pPr>
      <w:r>
        <w:rPr>
          <w:rFonts w:ascii="Arial" w:cs="Arial" w:eastAsia="Arial" w:hAnsi="Arial"/>
          <w:sz w:val="20"/>
          <w:szCs w:val="20"/>
          <w:color w:val="231F20"/>
        </w:rPr>
        <w:t>Even if we obtain approvals from the FDA or other comparable regulatory agencies and are able to initiate commercialization of any of our product candidates, such product candidates may not achieve market acceptance among physicians, patients and third-party payors and, ultimately, may not be commercially successful. The degree of market acceptance of our product candidates, if approved for commercial sale, will depend on a number of factors, including:</w:t>
      </w:r>
    </w:p>
    <w:p>
      <w:pPr>
        <w:spacing w:after="0" w:line="80" w:lineRule="exact"/>
        <w:rPr>
          <w:sz w:val="20"/>
          <w:szCs w:val="20"/>
          <w:color w:val="auto"/>
        </w:rPr>
      </w:pPr>
    </w:p>
    <w:p>
      <w:pPr>
        <w:ind w:left="980" w:right="540" w:hanging="490"/>
        <w:spacing w:after="0" w:line="282" w:lineRule="auto"/>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the safety, tolerability, efficacy and ease of use of a once-a-day oral dose and other potential advantages compared to alternative treatments;</w:t>
      </w:r>
    </w:p>
    <w:p>
      <w:pPr>
        <w:spacing w:after="0" w:line="53" w:lineRule="exact"/>
        <w:rPr>
          <w:rFonts w:ascii="Arial" w:cs="Arial" w:eastAsia="Arial" w:hAnsi="Arial"/>
          <w:sz w:val="20"/>
          <w:szCs w:val="20"/>
          <w:color w:val="231F20"/>
        </w:rPr>
      </w:pPr>
    </w:p>
    <w:p>
      <w:pPr>
        <w:ind w:left="980" w:right="560" w:hanging="490"/>
        <w:spacing w:after="0" w:line="282" w:lineRule="auto"/>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the potential and perceived advantages and disadvantages of the product candidates, including cost and clinical benefit relative to alternative treatments;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the convenience and ease of once-a-day oral administration compared to alternative treatments;</w:t>
      </w:r>
    </w:p>
    <w:p>
      <w:pPr>
        <w:spacing w:after="0" w:line="133" w:lineRule="exact"/>
        <w:rPr>
          <w:rFonts w:ascii="Arial" w:cs="Arial" w:eastAsia="Arial" w:hAnsi="Arial"/>
          <w:sz w:val="20"/>
          <w:szCs w:val="20"/>
          <w:color w:val="231F20"/>
        </w:rPr>
      </w:pPr>
    </w:p>
    <w:p>
      <w:pPr>
        <w:ind w:left="980" w:right="700" w:hanging="490"/>
        <w:spacing w:after="0" w:line="282" w:lineRule="auto"/>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the willingness of the target patient population to try new therapies and of physicians to prescribe these therapies;</w:t>
      </w:r>
    </w:p>
    <w:p>
      <w:pPr>
        <w:spacing w:after="0" w:line="53" w:lineRule="exact"/>
        <w:rPr>
          <w:rFonts w:ascii="Arial" w:cs="Arial" w:eastAsia="Arial" w:hAnsi="Arial"/>
          <w:sz w:val="20"/>
          <w:szCs w:val="20"/>
          <w:color w:val="231F20"/>
        </w:rPr>
      </w:pPr>
    </w:p>
    <w:p>
      <w:pPr>
        <w:ind w:left="980" w:right="580" w:hanging="490"/>
        <w:spacing w:after="0" w:line="282" w:lineRule="auto"/>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acceptance by physicians, patients, payor-formularies and treatment facilities and parties responsible for coverage and reimbursement of the product;</w:t>
      </w:r>
    </w:p>
    <w:p>
      <w:pPr>
        <w:spacing w:after="0" w:line="53" w:lineRule="exact"/>
        <w:rPr>
          <w:rFonts w:ascii="Arial" w:cs="Arial" w:eastAsia="Arial" w:hAnsi="Arial"/>
          <w:sz w:val="20"/>
          <w:szCs w:val="20"/>
          <w:color w:val="231F20"/>
        </w:rPr>
      </w:pPr>
    </w:p>
    <w:p>
      <w:pPr>
        <w:ind w:left="980" w:right="880" w:hanging="490"/>
        <w:spacing w:after="0" w:line="282" w:lineRule="auto"/>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the availability of coverage and adequate reimbursement by third-party payors, including government authorities;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our ability to manufacture the product candidates in sufficient quantities and yields;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the strength and effectiveness of marketing and distribution support;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the prevalence and severity of any side effects;</w:t>
      </w:r>
    </w:p>
    <w:p>
      <w:pPr>
        <w:spacing w:after="0" w:line="133" w:lineRule="exact"/>
        <w:rPr>
          <w:rFonts w:ascii="Arial" w:cs="Arial" w:eastAsia="Arial" w:hAnsi="Arial"/>
          <w:sz w:val="20"/>
          <w:szCs w:val="20"/>
          <w:color w:val="231F20"/>
        </w:rPr>
      </w:pPr>
    </w:p>
    <w:p>
      <w:pPr>
        <w:ind w:left="980" w:hanging="490"/>
        <w:spacing w:after="0" w:line="282" w:lineRule="auto"/>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limitations or warnings, including distribution or use restrictions, contained in the product’s approved labeling or an approved REMS;</w:t>
      </w:r>
    </w:p>
    <w:p>
      <w:pPr>
        <w:spacing w:after="0" w:line="53" w:lineRule="exact"/>
        <w:rPr>
          <w:rFonts w:ascii="Arial" w:cs="Arial" w:eastAsia="Arial" w:hAnsi="Arial"/>
          <w:sz w:val="20"/>
          <w:szCs w:val="20"/>
          <w:color w:val="231F20"/>
        </w:rPr>
      </w:pPr>
    </w:p>
    <w:p>
      <w:pPr>
        <w:ind w:left="980" w:right="140" w:hanging="490"/>
        <w:spacing w:after="0" w:line="282" w:lineRule="auto"/>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whether the product is designated under physician treatment guidelines as a first-line therapy or as a second-or third-line therapy for particular infections;</w:t>
      </w:r>
    </w:p>
    <w:p>
      <w:pPr>
        <w:spacing w:after="0" w:line="53" w:lineRule="exact"/>
        <w:rPr>
          <w:rFonts w:ascii="Arial" w:cs="Arial" w:eastAsia="Arial" w:hAnsi="Arial"/>
          <w:sz w:val="20"/>
          <w:szCs w:val="20"/>
          <w:color w:val="231F20"/>
        </w:rPr>
      </w:pPr>
    </w:p>
    <w:p>
      <w:pPr>
        <w:ind w:left="980" w:right="80" w:hanging="490"/>
        <w:spacing w:after="0" w:line="282" w:lineRule="auto"/>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whether the product is safe, tolerable and efficacious when used in combination therapy with the current multi-drug standard of care regimen;</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the approval of other new products for the same indications;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the timing of market introduction of the approved product as well as competitive products;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the emergence of bacterial resistance to the product.</w:t>
      </w:r>
    </w:p>
    <w:p>
      <w:pPr>
        <w:spacing w:after="0" w:line="240" w:lineRule="exact"/>
        <w:rPr>
          <w:sz w:val="20"/>
          <w:szCs w:val="20"/>
          <w:color w:val="auto"/>
        </w:rPr>
      </w:pPr>
    </w:p>
    <w:p>
      <w:pPr>
        <w:ind w:right="260" w:firstLine="490"/>
        <w:spacing w:after="0" w:line="261" w:lineRule="auto"/>
        <w:rPr>
          <w:sz w:val="20"/>
          <w:szCs w:val="20"/>
          <w:color w:val="auto"/>
        </w:rPr>
      </w:pPr>
      <w:r>
        <w:rPr>
          <w:rFonts w:ascii="Arial" w:cs="Arial" w:eastAsia="Arial" w:hAnsi="Arial"/>
          <w:sz w:val="20"/>
          <w:szCs w:val="20"/>
          <w:color w:val="231F20"/>
        </w:rPr>
        <w:t>If the market size of any product candidate that obtains regulatory approval is significantly smaller than we anticipate, it may not achieve market acceptance or commercial success. This could significantly and negatively impact our business, financial condition, results of operations and growth prospects.</w:t>
      </w:r>
    </w:p>
    <w:p>
      <w:pPr>
        <w:spacing w:after="0" w:line="304" w:lineRule="exact"/>
        <w:rPr>
          <w:sz w:val="20"/>
          <w:szCs w:val="20"/>
          <w:color w:val="auto"/>
        </w:rPr>
      </w:pPr>
    </w:p>
    <w:p>
      <w:pPr>
        <w:ind w:right="860"/>
        <w:spacing w:after="0" w:line="289" w:lineRule="auto"/>
        <w:rPr>
          <w:sz w:val="20"/>
          <w:szCs w:val="20"/>
          <w:color w:val="auto"/>
        </w:rPr>
      </w:pPr>
      <w:r>
        <w:rPr>
          <w:rFonts w:ascii="Arial" w:cs="Arial" w:eastAsia="Arial" w:hAnsi="Arial"/>
          <w:sz w:val="20"/>
          <w:szCs w:val="20"/>
          <w:b w:val="1"/>
          <w:bCs w:val="1"/>
          <w:i w:val="1"/>
          <w:iCs w:val="1"/>
          <w:color w:val="231F20"/>
        </w:rPr>
        <w:t>We face substantial competition, which may result in others discovering, developing or commercializing products before or more successfully than we do.</w:t>
      </w:r>
    </w:p>
    <w:p>
      <w:pPr>
        <w:spacing w:after="0" w:line="22"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231F20"/>
        </w:rPr>
        <w:t>The development and commercialization of new drug products is highly competitive. We face competition from major multi-national pharmaceutical companies, biotechnology companies, specialty pharmaceutical companies and generic drug companies with respect to the product candidates that we intend to develop and commercialize. Potential competitors also include academic institutions, government agencies and other public and private research organizations. If our competitors obtain regulatory approval from the FDA or other comparable regulatory authorities for their product candidates more rapidly than we do, it could result in our competitors establishing a strong market position before we are able to enter the market. Our competitors may also succeed in developing, acquiring or licensing technologies and drug products that are more effective, more effectively marketed and sold, or less costly than any product candidates that we may develop, which could render our product candidate non-competitive and obsolete.</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780"/>
          </w:cols>
          <w:pgMar w:left="540" w:top="746" w:right="560" w:bottom="0" w:gutter="0" w:footer="0" w:header="0"/>
          <w:type w:val="continuous"/>
        </w:sectPr>
      </w:pPr>
    </w:p>
    <w:bookmarkStart w:id="39" w:name="page40"/>
    <w:bookmarkEnd w:id="39"/>
    <w:p>
      <w:pPr>
        <w:ind w:firstLine="490"/>
        <w:spacing w:after="0" w:line="243" w:lineRule="auto"/>
        <w:rPr>
          <w:sz w:val="20"/>
          <w:szCs w:val="20"/>
          <w:color w:val="auto"/>
        </w:rPr>
      </w:pPr>
      <w:r>
        <w:rPr>
          <w:rFonts w:ascii="Arial" w:cs="Arial" w:eastAsia="Arial" w:hAnsi="Arial"/>
          <w:sz w:val="20"/>
          <w:szCs w:val="20"/>
          <w:color w:val="231F20"/>
        </w:rPr>
        <w:t>Many of our competitors have significantly greater financial resources and expertise in research and development, manufacturing, preclinical and nonclinical testing, conducting clinical trials, obtaining regulatory approvals, and marketing approved products than we do as an organization.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following the August 2024 announcement of topline data from the Phase 2 portion of our Phase 2/3 clinical trial evaluating epetraborole, we effected a restructuring resulting in the elimination of a significant portion of the workforce and could result in additional unplanned loss of personnel. Continued disruption caused by the transition or by the loss of ongoing services of any qualified scientific and management personnel could delay or prevent the successful development of our current and future product candidates.</w:t>
      </w:r>
    </w:p>
    <w:p>
      <w:pPr>
        <w:spacing w:after="0" w:line="203" w:lineRule="exact"/>
        <w:rPr>
          <w:sz w:val="20"/>
          <w:szCs w:val="20"/>
          <w:color w:val="auto"/>
        </w:rPr>
      </w:pPr>
    </w:p>
    <w:p>
      <w:pPr>
        <w:ind w:right="40" w:firstLine="490"/>
        <w:spacing w:after="0" w:line="259" w:lineRule="auto"/>
        <w:rPr>
          <w:sz w:val="20"/>
          <w:szCs w:val="20"/>
          <w:color w:val="auto"/>
        </w:rPr>
      </w:pPr>
      <w:r>
        <w:rPr>
          <w:rFonts w:ascii="Arial" w:cs="Arial" w:eastAsia="Arial" w:hAnsi="Arial"/>
          <w:sz w:val="19"/>
          <w:szCs w:val="19"/>
          <w:color w:val="231F20"/>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approval from the FDA or other comparable regulatory agencies for their product candidates more rapidly than we may obtain approval for ours, which could result in product approval delays if a competitor obtains market exclusivity from the FDA or any comparable regulatory agencies or our competitors establish a strong market position before we are able to enter the market. In addition, our ability to compete may be affected in many cases by insurers or other third-party payors seeking to encourage the use of generic drugs. Additional drugs may become available on a generic basis over the coming years. If any of our product candidates achieve regulatory approval, we expect that they will be priced at a significant premium over competitive generic drugs.</w:t>
      </w:r>
    </w:p>
    <w:p>
      <w:pPr>
        <w:spacing w:after="0" w:line="312" w:lineRule="exact"/>
        <w:rPr>
          <w:sz w:val="20"/>
          <w:szCs w:val="20"/>
          <w:color w:val="auto"/>
        </w:rPr>
      </w:pPr>
    </w:p>
    <w:p>
      <w:pPr>
        <w:ind w:right="340"/>
        <w:spacing w:after="0" w:line="264" w:lineRule="auto"/>
        <w:rPr>
          <w:sz w:val="20"/>
          <w:szCs w:val="20"/>
          <w:color w:val="auto"/>
        </w:rPr>
      </w:pPr>
      <w:r>
        <w:rPr>
          <w:rFonts w:ascii="Arial" w:cs="Arial" w:eastAsia="Arial" w:hAnsi="Arial"/>
          <w:sz w:val="20"/>
          <w:szCs w:val="20"/>
          <w:b w:val="1"/>
          <w:bCs w:val="1"/>
          <w:i w:val="1"/>
          <w:iCs w:val="1"/>
          <w:color w:val="231F20"/>
        </w:rPr>
        <w:t>If we are unable to establish sales, marketing and distribution capabilities for our product candidates, or enter into sales, marketing and distribution agreements with third parties, we may not be successful in commercializing our product candidates, if and when they are approved.</w:t>
      </w:r>
    </w:p>
    <w:p>
      <w:pPr>
        <w:spacing w:after="0" w:line="47"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231F20"/>
        </w:rPr>
        <w:t>We do not have a sales or marketing infrastructure and have limited experience in the sale, marketing, or distribution of pharmaceutical products. To achieve commercial success for any product candidate for which we may obtain regulatory approval, we will need to establish a sales and marketing organization or enter into collaboration, distribution and other marketing arrangements with one or more third parties to commercialize such product candidate. In the U.S. and other key markets, we intend to build a commercial organization to target areas with the greatest incidence of conditions for which we may at some point obtain regulatory approval and recruit experienced sales, marketing and distribution professionals. The development of sales, marketing and distribution capabilities will require substantial resources, will be time-consuming and could delay any product launch. We may decide to work with regional specialty pharmacies, distributors, and/or multi-national pharmaceutical companies to leverage their commercialization capabilities to commercialize any product candidate for which we may obtain regulatory approval outside of the U.S.</w:t>
      </w:r>
    </w:p>
    <w:p>
      <w:pPr>
        <w:spacing w:after="0" w:line="202"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231F20"/>
        </w:rPr>
        <w:t>If the commercial launch of a product candidate for which we recruit a sales force and establish marketing and distribution capabilities is delayed or does not occur for any reason, we would have prematurely or unnecessarily incurred these commercialization costs. This may be costly, and our investment would be lost if we cannot retain or reposition our sales and marketing personnel. In addition, we may not be able to hire a sales force in the U.S. that is sufficient in size or has adequate expertise to target the areas that we intend to target. If we are unable to establish a sales force and marketing and distribution capabilities, our operating results may be adversely affected.</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Factors that may inhibit our efforts to commercialize our drugs on our own include:</w:t>
      </w:r>
    </w:p>
    <w:p>
      <w:pPr>
        <w:spacing w:after="0" w:line="134" w:lineRule="exact"/>
        <w:rPr>
          <w:sz w:val="20"/>
          <w:szCs w:val="20"/>
          <w:color w:val="auto"/>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our inability to recruit, train and retain adequate numbers of effective sales and marketing personnel;</w:t>
      </w:r>
    </w:p>
    <w:p>
      <w:pPr>
        <w:spacing w:after="0" w:line="133" w:lineRule="exact"/>
        <w:rPr>
          <w:rFonts w:ascii="Arial" w:cs="Arial" w:eastAsia="Arial" w:hAnsi="Arial"/>
          <w:sz w:val="20"/>
          <w:szCs w:val="20"/>
          <w:color w:val="231F20"/>
        </w:rPr>
      </w:pPr>
    </w:p>
    <w:p>
      <w:pPr>
        <w:ind w:left="980" w:right="160" w:hanging="490"/>
        <w:spacing w:after="0" w:line="282" w:lineRule="auto"/>
        <w:tabs>
          <w:tab w:leader="none" w:pos="98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the inability of sales personnel to obtain access to physicians or persuade adequate numbers of physicians to prescribe any future products;</w:t>
      </w:r>
    </w:p>
    <w:p>
      <w:pPr>
        <w:spacing w:after="0" w:line="53" w:lineRule="exact"/>
        <w:rPr>
          <w:rFonts w:ascii="Arial" w:cs="Arial" w:eastAsia="Arial" w:hAnsi="Arial"/>
          <w:sz w:val="20"/>
          <w:szCs w:val="20"/>
          <w:color w:val="231F20"/>
        </w:rPr>
      </w:pPr>
    </w:p>
    <w:p>
      <w:pPr>
        <w:ind w:left="980" w:right="660" w:hanging="490"/>
        <w:spacing w:after="0" w:line="282" w:lineRule="auto"/>
        <w:tabs>
          <w:tab w:leader="none" w:pos="98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the lack of complementary products to be offered by sales personnel, which may put us at a competitive disadvantage compared to companies with more extensive product lines;</w:t>
      </w:r>
    </w:p>
    <w:p>
      <w:pPr>
        <w:spacing w:after="0" w:line="53" w:lineRule="exact"/>
        <w:rPr>
          <w:rFonts w:ascii="Arial" w:cs="Arial" w:eastAsia="Arial" w:hAnsi="Arial"/>
          <w:sz w:val="20"/>
          <w:szCs w:val="20"/>
          <w:color w:val="231F20"/>
        </w:rPr>
      </w:pPr>
    </w:p>
    <w:p>
      <w:pPr>
        <w:ind w:left="980" w:right="320" w:hanging="490"/>
        <w:spacing w:after="0" w:line="282" w:lineRule="auto"/>
        <w:tabs>
          <w:tab w:leader="none" w:pos="98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unforeseen costs and expenses associated with creating an independent sales and marketing organization; and</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unforeseen costs and limitations with regard to setting up a distribution network.</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800"/>
          </w:cols>
          <w:pgMar w:left="540" w:top="750" w:right="540" w:bottom="0" w:gutter="0" w:footer="0" w:header="0"/>
          <w:type w:val="continuous"/>
        </w:sectPr>
      </w:pPr>
    </w:p>
    <w:bookmarkStart w:id="40" w:name="page41"/>
    <w:bookmarkEnd w:id="40"/>
    <w:p>
      <w:pPr>
        <w:ind w:right="40" w:firstLine="490"/>
        <w:spacing w:after="0" w:line="245" w:lineRule="auto"/>
        <w:rPr>
          <w:sz w:val="20"/>
          <w:szCs w:val="20"/>
          <w:color w:val="auto"/>
        </w:rPr>
      </w:pPr>
      <w:r>
        <w:rPr>
          <w:rFonts w:ascii="Arial" w:cs="Arial" w:eastAsia="Arial" w:hAnsi="Arial"/>
          <w:sz w:val="20"/>
          <w:szCs w:val="20"/>
          <w:color w:val="231F20"/>
        </w:rPr>
        <w:t>If we are unable to establish our own sales, marketing and distribution capabilities in the U.S. and other jurisdictions in which any of our product candidates are approved and, instead, enter into arrangements with third parties to perform these services, our revenues and profitability, if any, are likely to be lower than if we were to sell, market and distribute any product candidates that we develop ourselves. We may not be successful in entering into arrangements with third parties to sell, market and distribute our product candidates or may be unable to do so on terms that are favorable to us. We likely will have limited control over such third parties, and any of them may fail to devote the necessary resources and attention to sell and market our product candidates effectively. If we do not establish sales, marketing and distribution capabilities successfully, either on our own or in collaboration with third parties, we will not be successful in commercializing any product candidates.</w:t>
      </w:r>
    </w:p>
    <w:p>
      <w:pPr>
        <w:spacing w:after="0" w:line="321" w:lineRule="exact"/>
        <w:rPr>
          <w:sz w:val="20"/>
          <w:szCs w:val="20"/>
          <w:color w:val="auto"/>
        </w:rPr>
      </w:pPr>
    </w:p>
    <w:p>
      <w:pPr>
        <w:ind w:right="480"/>
        <w:spacing w:after="0" w:line="289" w:lineRule="auto"/>
        <w:rPr>
          <w:sz w:val="20"/>
          <w:szCs w:val="20"/>
          <w:color w:val="auto"/>
        </w:rPr>
      </w:pPr>
      <w:r>
        <w:rPr>
          <w:rFonts w:ascii="Arial" w:cs="Arial" w:eastAsia="Arial" w:hAnsi="Arial"/>
          <w:sz w:val="20"/>
          <w:szCs w:val="20"/>
          <w:b w:val="1"/>
          <w:bCs w:val="1"/>
          <w:i w:val="1"/>
          <w:iCs w:val="1"/>
          <w:color w:val="231F20"/>
        </w:rPr>
        <w:t>Coverage and adequate reimbursement may not be available for any of our product candidates, which could make it difficult for us to sell profitably, if approved.</w:t>
      </w:r>
    </w:p>
    <w:p>
      <w:pPr>
        <w:spacing w:after="0" w:line="22" w:lineRule="exact"/>
        <w:rPr>
          <w:sz w:val="20"/>
          <w:szCs w:val="20"/>
          <w:color w:val="auto"/>
        </w:rPr>
      </w:pPr>
    </w:p>
    <w:p>
      <w:pPr>
        <w:ind w:right="40" w:firstLine="490"/>
        <w:spacing w:after="0" w:line="242" w:lineRule="auto"/>
        <w:rPr>
          <w:sz w:val="20"/>
          <w:szCs w:val="20"/>
          <w:color w:val="auto"/>
        </w:rPr>
      </w:pPr>
      <w:r>
        <w:rPr>
          <w:rFonts w:ascii="Arial" w:cs="Arial" w:eastAsia="Arial" w:hAnsi="Arial"/>
          <w:sz w:val="20"/>
          <w:szCs w:val="20"/>
          <w:color w:val="231F20"/>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and providers are unlikely to prescribe our drugs, unless coverage is provided and reimbursement is adequate to cover a significant portion of the cost of our drugs and their administration.</w:t>
      </w:r>
    </w:p>
    <w:p>
      <w:pPr>
        <w:spacing w:after="0" w:line="208"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regulatory approval. If coverage and adequate reimbursement are not available, or are available only to limited levels, we may not be able to successfully commercialize any product candidates that we develop.</w:t>
      </w:r>
    </w:p>
    <w:p>
      <w:pPr>
        <w:spacing w:after="0" w:line="317"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b w:val="1"/>
          <w:bCs w:val="1"/>
          <w:i w:val="1"/>
          <w:iCs w:val="1"/>
          <w:color w:val="231F20"/>
        </w:rPr>
        <w:t>Product liability lawsuits against us could cause us to incur substantial liabilities and to limit commercialization of any products that we may develop.</w:t>
      </w:r>
    </w:p>
    <w:p>
      <w:pPr>
        <w:spacing w:after="0" w:line="22" w:lineRule="exact"/>
        <w:rPr>
          <w:sz w:val="20"/>
          <w:szCs w:val="20"/>
          <w:color w:val="auto"/>
        </w:rPr>
      </w:pPr>
    </w:p>
    <w:p>
      <w:pPr>
        <w:jc w:val="both"/>
        <w:ind w:right="580" w:firstLine="490"/>
        <w:spacing w:after="0" w:line="254" w:lineRule="auto"/>
        <w:rPr>
          <w:sz w:val="20"/>
          <w:szCs w:val="20"/>
          <w:color w:val="auto"/>
        </w:rPr>
      </w:pPr>
      <w:r>
        <w:rPr>
          <w:rFonts w:ascii="Arial" w:cs="Arial" w:eastAsia="Arial" w:hAnsi="Arial"/>
          <w:sz w:val="20"/>
          <w:szCs w:val="20"/>
          <w:color w:val="231F20"/>
        </w:rPr>
        <w:t>We face an inherent risk of product liability exposure related to the testing of our product candidates in human clinical trials and will face an even greater risk if we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80" w:lineRule="exact"/>
        <w:rPr>
          <w:sz w:val="20"/>
          <w:szCs w:val="20"/>
          <w:color w:val="auto"/>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reduced resources of our management to pursue our business strategy;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decreased demand for any product candidates or products that we may develop;</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injury to our reputation and significant negative media attention;</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withdrawal of clinical trial participants;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initiation of investigations by regulators;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product recalls, withdrawals or labeling, marketing or promotional restrictions;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significant costs to defend the resulting litigation;</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substantial monetary awards paid to clinical trial participants or patients;</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760"/>
          </w:cols>
          <w:pgMar w:left="540" w:top="750" w:right="580" w:bottom="0" w:gutter="0" w:footer="0" w:header="0"/>
          <w:type w:val="continuous"/>
        </w:sectPr>
      </w:pPr>
    </w:p>
    <w:bookmarkStart w:id="41" w:name="page42"/>
    <w:bookmarkEnd w:id="41"/>
    <w:p>
      <w:pPr>
        <w:ind w:left="980" w:hanging="490"/>
        <w:spacing w:after="0"/>
        <w:tabs>
          <w:tab w:leader="none" w:pos="980" w:val="left"/>
        </w:tabs>
        <w:numPr>
          <w:ilvl w:val="0"/>
          <w:numId w:val="28"/>
        </w:numPr>
        <w:rPr>
          <w:rFonts w:ascii="Arial" w:cs="Arial" w:eastAsia="Arial" w:hAnsi="Arial"/>
          <w:sz w:val="20"/>
          <w:szCs w:val="20"/>
          <w:color w:val="231F20"/>
        </w:rPr>
      </w:pPr>
      <w:r>
        <w:rPr>
          <w:rFonts w:ascii="Arial" w:cs="Arial" w:eastAsia="Arial" w:hAnsi="Arial"/>
          <w:sz w:val="20"/>
          <w:szCs w:val="20"/>
          <w:color w:val="231F20"/>
        </w:rPr>
        <w:t>loss of revenue;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8"/>
        </w:numPr>
        <w:rPr>
          <w:rFonts w:ascii="Arial" w:cs="Arial" w:eastAsia="Arial" w:hAnsi="Arial"/>
          <w:sz w:val="20"/>
          <w:szCs w:val="20"/>
          <w:color w:val="231F20"/>
        </w:rPr>
      </w:pPr>
      <w:r>
        <w:rPr>
          <w:rFonts w:ascii="Arial" w:cs="Arial" w:eastAsia="Arial" w:hAnsi="Arial"/>
          <w:sz w:val="20"/>
          <w:szCs w:val="20"/>
          <w:color w:val="231F20"/>
        </w:rPr>
        <w:t>the inability to commercialize any drugs that we may develop;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8"/>
        </w:numPr>
        <w:rPr>
          <w:rFonts w:ascii="Arial" w:cs="Arial" w:eastAsia="Arial" w:hAnsi="Arial"/>
          <w:sz w:val="20"/>
          <w:szCs w:val="20"/>
          <w:color w:val="231F20"/>
        </w:rPr>
      </w:pPr>
      <w:r>
        <w:rPr>
          <w:rFonts w:ascii="Arial" w:cs="Arial" w:eastAsia="Arial" w:hAnsi="Arial"/>
          <w:sz w:val="20"/>
          <w:szCs w:val="20"/>
          <w:color w:val="231F20"/>
        </w:rPr>
        <w:t>a decline in our share price.</w:t>
      </w:r>
    </w:p>
    <w:p>
      <w:pPr>
        <w:spacing w:after="0" w:line="240"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231F20"/>
        </w:rPr>
        <w:t>Our product liability insurance coverage may not be adequate to cover all liabilities that we may incur. We may need to increase our insurance coverage as we expand our clinical trials or if we commence commercialization of any product candidates. Insurance coverage is increasingly expensive. We may not be able to maintain insurance coverage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321"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b w:val="1"/>
          <w:bCs w:val="1"/>
          <w:i w:val="1"/>
          <w:iCs w:val="1"/>
          <w:color w:val="231F20"/>
        </w:rPr>
        <w:t>There are a variety of risks associated with marketing our product candidates internationally, which could affect our business.</w:t>
      </w:r>
    </w:p>
    <w:p>
      <w:pPr>
        <w:spacing w:after="0" w:line="22"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231F20"/>
        </w:rPr>
        <w:t>We may seek regulatory approval for our product candidates outside of the U.S. and, accordingly, we expect that we will be subject to additional risks related to operating in foreign countries if we obtain the necessary approvals, including:</w:t>
      </w:r>
    </w:p>
    <w:p>
      <w:pPr>
        <w:spacing w:after="0" w:line="53" w:lineRule="exact"/>
        <w:rPr>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differing regulatory requirements and reimbursement landscapes in foreign countries;</w:t>
      </w:r>
    </w:p>
    <w:p>
      <w:pPr>
        <w:spacing w:after="0" w:line="133" w:lineRule="exact"/>
        <w:rPr>
          <w:rFonts w:ascii="Arial" w:cs="Arial" w:eastAsia="Arial" w:hAnsi="Arial"/>
          <w:sz w:val="20"/>
          <w:szCs w:val="20"/>
          <w:color w:val="231F20"/>
        </w:rPr>
      </w:pPr>
    </w:p>
    <w:p>
      <w:pPr>
        <w:ind w:left="980" w:right="20" w:hanging="490"/>
        <w:spacing w:after="0" w:line="261" w:lineRule="auto"/>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the potential for so-called parallel importing, which is what happens when a local seller, faced with high or higher local prices, opts to import goods from a foreign market with low or lower prices rather than buying them locally;</w:t>
      </w:r>
    </w:p>
    <w:p>
      <w:pPr>
        <w:spacing w:after="0" w:line="73" w:lineRule="exact"/>
        <w:rPr>
          <w:rFonts w:ascii="Arial" w:cs="Arial" w:eastAsia="Arial" w:hAnsi="Arial"/>
          <w:sz w:val="20"/>
          <w:szCs w:val="20"/>
          <w:color w:val="231F20"/>
        </w:rPr>
      </w:pPr>
    </w:p>
    <w:p>
      <w:pPr>
        <w:ind w:left="980" w:hanging="490"/>
        <w:spacing w:after="0"/>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unexpected changes in tariffs, trade barriers, price and exchange controls and other regulatory requirements;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economic weakness, including inflation or political instability in particular foreign economies and markets;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compliance with tax, employment, immigration and labor laws for employees living or traveling abroad;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foreign taxes, including withholding of payroll taxes;</w:t>
      </w:r>
    </w:p>
    <w:p>
      <w:pPr>
        <w:spacing w:after="0" w:line="133" w:lineRule="exact"/>
        <w:rPr>
          <w:rFonts w:ascii="Arial" w:cs="Arial" w:eastAsia="Arial" w:hAnsi="Arial"/>
          <w:sz w:val="20"/>
          <w:szCs w:val="20"/>
          <w:color w:val="231F20"/>
        </w:rPr>
      </w:pPr>
    </w:p>
    <w:p>
      <w:pPr>
        <w:ind w:left="980" w:right="180" w:hanging="490"/>
        <w:spacing w:after="0" w:line="282" w:lineRule="auto"/>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foreign currency fluctuations, which could result in increased operating expenses and reduced revenues, and other obligations incident to doing business in another country;</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difficulties staffing and managing foreign operations;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workforce uncertainty in countries where labor unrest is more common than in the U.S.;</w:t>
      </w:r>
    </w:p>
    <w:p>
      <w:pPr>
        <w:spacing w:after="0" w:line="133" w:lineRule="exact"/>
        <w:rPr>
          <w:rFonts w:ascii="Arial" w:cs="Arial" w:eastAsia="Arial" w:hAnsi="Arial"/>
          <w:sz w:val="20"/>
          <w:szCs w:val="20"/>
          <w:color w:val="231F20"/>
        </w:rPr>
      </w:pPr>
    </w:p>
    <w:p>
      <w:pPr>
        <w:ind w:left="980" w:right="960" w:hanging="490"/>
        <w:spacing w:after="0" w:line="282" w:lineRule="auto"/>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potential liability under the U.S. Foreign Corrupt Practices Act of 1977, as amended (the “FCPA”), or comparable foreign regulations;</w:t>
      </w:r>
    </w:p>
    <w:p>
      <w:pPr>
        <w:spacing w:after="0" w:line="53" w:lineRule="exact"/>
        <w:rPr>
          <w:rFonts w:ascii="Arial" w:cs="Arial" w:eastAsia="Arial" w:hAnsi="Arial"/>
          <w:sz w:val="20"/>
          <w:szCs w:val="20"/>
          <w:color w:val="231F20"/>
        </w:rPr>
      </w:pPr>
    </w:p>
    <w:p>
      <w:pPr>
        <w:ind w:left="980" w:right="200" w:hanging="490"/>
        <w:spacing w:after="0" w:line="282" w:lineRule="auto"/>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challenges enforcing our contractual and intellectual property rights, especially in those foreign countries that do not respect and protect intellectual property rights to the same extent as the U.S.;</w:t>
      </w:r>
    </w:p>
    <w:p>
      <w:pPr>
        <w:spacing w:after="0" w:line="53" w:lineRule="exact"/>
        <w:rPr>
          <w:rFonts w:ascii="Arial" w:cs="Arial" w:eastAsia="Arial" w:hAnsi="Arial"/>
          <w:sz w:val="20"/>
          <w:szCs w:val="20"/>
          <w:color w:val="231F20"/>
        </w:rPr>
      </w:pPr>
    </w:p>
    <w:p>
      <w:pPr>
        <w:ind w:left="980" w:right="460" w:hanging="490"/>
        <w:spacing w:after="0" w:line="282" w:lineRule="auto"/>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production shortages resulting from any events affecting raw material supply or manufacturing capabilities abroad; and</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business interruptions resulting from geo-political actions, including war and terrorism.</w:t>
      </w:r>
    </w:p>
    <w:p>
      <w:pPr>
        <w:spacing w:after="0" w:line="240" w:lineRule="exact"/>
        <w:rPr>
          <w:sz w:val="20"/>
          <w:szCs w:val="20"/>
          <w:color w:val="auto"/>
        </w:rPr>
      </w:pPr>
    </w:p>
    <w:p>
      <w:pPr>
        <w:ind w:right="780" w:firstLine="490"/>
        <w:spacing w:after="0" w:line="282" w:lineRule="auto"/>
        <w:rPr>
          <w:sz w:val="20"/>
          <w:szCs w:val="20"/>
          <w:color w:val="auto"/>
        </w:rPr>
      </w:pPr>
      <w:r>
        <w:rPr>
          <w:rFonts w:ascii="Arial" w:cs="Arial" w:eastAsia="Arial" w:hAnsi="Arial"/>
          <w:sz w:val="20"/>
          <w:szCs w:val="20"/>
          <w:color w:val="231F20"/>
        </w:rPr>
        <w:t>These and other risks associated with our international operations may compromise our ability to achieve or maintain profitability.</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Risks Related to Our Business, Industry and Managing Our Growth</w:t>
      </w:r>
    </w:p>
    <w:p>
      <w:pPr>
        <w:spacing w:after="0" w:line="128" w:lineRule="exact"/>
        <w:rPr>
          <w:sz w:val="20"/>
          <w:szCs w:val="20"/>
          <w:color w:val="auto"/>
        </w:rPr>
      </w:pPr>
    </w:p>
    <w:p>
      <w:pPr>
        <w:ind w:right="580"/>
        <w:spacing w:after="0" w:line="289" w:lineRule="auto"/>
        <w:rPr>
          <w:sz w:val="20"/>
          <w:szCs w:val="20"/>
          <w:color w:val="auto"/>
        </w:rPr>
      </w:pPr>
      <w:r>
        <w:rPr>
          <w:rFonts w:ascii="Arial" w:cs="Arial" w:eastAsia="Arial" w:hAnsi="Arial"/>
          <w:sz w:val="20"/>
          <w:szCs w:val="20"/>
          <w:b w:val="1"/>
          <w:bCs w:val="1"/>
          <w:i w:val="1"/>
          <w:iCs w:val="1"/>
          <w:color w:val="231F20"/>
        </w:rPr>
        <w:t>We operate with a small team and our future success depends on our ability to retain key executives and to attract, retain and motivate qualified personnel.</w:t>
      </w:r>
    </w:p>
    <w:p>
      <w:pPr>
        <w:spacing w:after="0" w:line="22" w:lineRule="exact"/>
        <w:rPr>
          <w:sz w:val="20"/>
          <w:szCs w:val="20"/>
          <w:color w:val="auto"/>
        </w:rPr>
      </w:pPr>
    </w:p>
    <w:p>
      <w:pPr>
        <w:ind w:right="200" w:firstLine="490"/>
        <w:spacing w:after="0" w:line="254" w:lineRule="auto"/>
        <w:rPr>
          <w:sz w:val="20"/>
          <w:szCs w:val="20"/>
          <w:color w:val="auto"/>
        </w:rPr>
      </w:pPr>
      <w:r>
        <w:rPr>
          <w:rFonts w:ascii="Arial" w:cs="Arial" w:eastAsia="Arial" w:hAnsi="Arial"/>
          <w:sz w:val="20"/>
          <w:szCs w:val="20"/>
          <w:color w:val="231F20"/>
        </w:rPr>
        <w:t>We are highly dependent on the management, research and development, financial and business development expertise of our key executives, as well as the other members of our research, development, and business teams. Each may terminate employment with us at any time. We do not maintain “key person” insurance for any of our executives or employees.</w:t>
      </w:r>
    </w:p>
    <w:p>
      <w:pPr>
        <w:sectPr>
          <w:pgSz w:w="11880" w:h="15480" w:orient="portrait"/>
          <w:cols w:equalWidth="0" w:num="1">
            <w:col w:w="10780"/>
          </w:cols>
          <w:pgMar w:left="540" w:top="764" w:right="560" w:bottom="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780"/>
          </w:cols>
          <w:pgMar w:left="540" w:top="764" w:right="560" w:bottom="0" w:gutter="0" w:footer="0" w:header="0"/>
          <w:type w:val="continuous"/>
        </w:sectPr>
      </w:pPr>
    </w:p>
    <w:bookmarkStart w:id="42" w:name="page43"/>
    <w:bookmarkEnd w:id="42"/>
    <w:p>
      <w:pPr>
        <w:ind w:right="160" w:firstLine="490"/>
        <w:spacing w:after="0" w:line="242" w:lineRule="auto"/>
        <w:rPr>
          <w:sz w:val="20"/>
          <w:szCs w:val="20"/>
          <w:color w:val="auto"/>
        </w:rPr>
      </w:pPr>
      <w:r>
        <w:rPr>
          <w:rFonts w:ascii="Arial" w:cs="Arial" w:eastAsia="Arial" w:hAnsi="Arial"/>
          <w:sz w:val="20"/>
          <w:szCs w:val="20"/>
          <w:color w:val="231F20"/>
        </w:rPr>
        <w:t>Our limited personnel and resources may result in greater workloads for our employees compared to those at companies with which we compete for personnel, which may lead to higher levels of employee dissatisfaction and turnover. Recruiting and retaining qualified research, development, and business personnel and, if we progress the development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research and development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332" w:lineRule="exact"/>
        <w:rPr>
          <w:sz w:val="20"/>
          <w:szCs w:val="20"/>
          <w:color w:val="auto"/>
        </w:rPr>
      </w:pPr>
    </w:p>
    <w:p>
      <w:pPr>
        <w:ind w:right="500"/>
        <w:spacing w:after="0" w:line="289" w:lineRule="auto"/>
        <w:rPr>
          <w:sz w:val="20"/>
          <w:szCs w:val="20"/>
          <w:color w:val="auto"/>
        </w:rPr>
      </w:pPr>
      <w:r>
        <w:rPr>
          <w:rFonts w:ascii="Arial" w:cs="Arial" w:eastAsia="Arial" w:hAnsi="Arial"/>
          <w:sz w:val="20"/>
          <w:szCs w:val="20"/>
          <w:b w:val="1"/>
          <w:bCs w:val="1"/>
          <w:i w:val="1"/>
          <w:iCs w:val="1"/>
          <w:color w:val="231F20"/>
        </w:rPr>
        <w:t>Macroeconomic uncertainties have in the past and may continue to adversely impact our business, financial condition, results of operations and growth prospects.</w:t>
      </w:r>
    </w:p>
    <w:p>
      <w:pPr>
        <w:spacing w:after="0" w:line="22"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Higher interest rates, coupled with reduced government spending and volatility in financial markets may increase economic uncertainty and affect consumer spending. Similarly, volatility and disruptions in global markets and supply chains, tariffs, and global conflicts may adversely affect our business or the third parties on whom we rely. If the equity and credit markets deteriorate, including as a result of political unrest or war, or new tariffs and any retaliatory trade protection measures or trade wars that ensue, it may make any necessary debt or equity financing more difficult to obtain in a timely manner or on favorable terms, more costly or more dilutive. Increased inflation rates can adversely affect us by increasing our costs, including labor and employee benefit costs. To the extent that macroeconomic uncertainties continue to harm our business, financial condition, results of operations and growth prospects, many of the other risks described in this “Risk Factors” section will be exacerbated.</w:t>
      </w:r>
    </w:p>
    <w:p>
      <w:pPr>
        <w:spacing w:after="0" w:line="330" w:lineRule="exact"/>
        <w:rPr>
          <w:sz w:val="20"/>
          <w:szCs w:val="20"/>
          <w:color w:val="auto"/>
        </w:rPr>
      </w:pPr>
    </w:p>
    <w:p>
      <w:pPr>
        <w:ind w:right="180"/>
        <w:spacing w:after="0" w:line="264" w:lineRule="auto"/>
        <w:rPr>
          <w:sz w:val="20"/>
          <w:szCs w:val="20"/>
          <w:color w:val="auto"/>
        </w:rPr>
      </w:pPr>
      <w:r>
        <w:rPr>
          <w:rFonts w:ascii="Arial" w:cs="Arial" w:eastAsia="Arial" w:hAnsi="Arial"/>
          <w:sz w:val="20"/>
          <w:szCs w:val="20"/>
          <w:b w:val="1"/>
          <w:bCs w:val="1"/>
          <w:i w:val="1"/>
          <w:iCs w:val="1"/>
          <w:color w:val="231F20"/>
        </w:rPr>
        <w:t>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w:t>
      </w:r>
    </w:p>
    <w:p>
      <w:pPr>
        <w:spacing w:after="0" w:line="47"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231F20"/>
        </w:rPr>
        <w:t>Prior to the completion of the IPO, we had been a private company with limited accounting personnel to adequately execute our accounting processes and other supervisory resources with which to address our internal control over financial reporting. In connection with the preparation of our financial statements,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spacing w:after="0" w:line="88" w:lineRule="exact"/>
        <w:rPr>
          <w:sz w:val="20"/>
          <w:szCs w:val="20"/>
          <w:color w:val="auto"/>
        </w:rPr>
      </w:pPr>
    </w:p>
    <w:p>
      <w:pPr>
        <w:ind w:left="980" w:right="60" w:hanging="490"/>
        <w:spacing w:after="0" w:line="246" w:lineRule="auto"/>
        <w:tabs>
          <w:tab w:leader="none" w:pos="980" w:val="left"/>
        </w:tabs>
        <w:numPr>
          <w:ilvl w:val="0"/>
          <w:numId w:val="30"/>
        </w:numPr>
        <w:rPr>
          <w:rFonts w:ascii="Arial" w:cs="Arial" w:eastAsia="Arial" w:hAnsi="Arial"/>
          <w:sz w:val="20"/>
          <w:szCs w:val="20"/>
          <w:color w:val="231F20"/>
        </w:rPr>
      </w:pPr>
      <w:r>
        <w:rPr>
          <w:rFonts w:ascii="Arial" w:cs="Arial" w:eastAsia="Arial" w:hAnsi="Arial"/>
          <w:sz w:val="20"/>
          <w:szCs w:val="20"/>
          <w:color w:val="231F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spacing w:after="0" w:line="87" w:lineRule="exact"/>
        <w:rPr>
          <w:rFonts w:ascii="Arial" w:cs="Arial" w:eastAsia="Arial" w:hAnsi="Arial"/>
          <w:sz w:val="20"/>
          <w:szCs w:val="20"/>
          <w:color w:val="231F20"/>
        </w:rPr>
      </w:pPr>
    </w:p>
    <w:p>
      <w:pPr>
        <w:ind w:left="980" w:right="160" w:hanging="490"/>
        <w:spacing w:after="0" w:line="250" w:lineRule="auto"/>
        <w:tabs>
          <w:tab w:leader="none" w:pos="980" w:val="left"/>
        </w:tabs>
        <w:numPr>
          <w:ilvl w:val="0"/>
          <w:numId w:val="30"/>
        </w:numPr>
        <w:rPr>
          <w:rFonts w:ascii="Arial" w:cs="Arial" w:eastAsia="Arial" w:hAnsi="Arial"/>
          <w:sz w:val="20"/>
          <w:szCs w:val="20"/>
          <w:color w:val="231F20"/>
        </w:rPr>
      </w:pPr>
      <w:r>
        <w:rPr>
          <w:rFonts w:ascii="Arial" w:cs="Arial" w:eastAsia="Arial" w:hAnsi="Arial"/>
          <w:sz w:val="20"/>
          <w:szCs w:val="20"/>
          <w:color w:val="231F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800"/>
          </w:cols>
          <w:pgMar w:left="540" w:top="750" w:right="540" w:bottom="0" w:gutter="0" w:footer="0" w:header="0"/>
          <w:type w:val="continuous"/>
        </w:sectPr>
      </w:pPr>
    </w:p>
    <w:bookmarkStart w:id="43" w:name="page44"/>
    <w:bookmarkEnd w:id="43"/>
    <w:p>
      <w:pPr>
        <w:ind w:left="980" w:right="180" w:hanging="490"/>
        <w:spacing w:after="0" w:line="282" w:lineRule="auto"/>
        <w:tabs>
          <w:tab w:leader="none" w:pos="980" w:val="left"/>
        </w:tabs>
        <w:numPr>
          <w:ilvl w:val="0"/>
          <w:numId w:val="31"/>
        </w:numPr>
        <w:rPr>
          <w:rFonts w:ascii="Arial" w:cs="Arial" w:eastAsia="Arial" w:hAnsi="Arial"/>
          <w:sz w:val="20"/>
          <w:szCs w:val="20"/>
          <w:color w:val="231F20"/>
        </w:rPr>
      </w:pPr>
      <w:r>
        <w:rPr>
          <w:rFonts w:ascii="Arial" w:cs="Arial" w:eastAsia="Arial" w:hAnsi="Arial"/>
          <w:sz w:val="20"/>
          <w:szCs w:val="20"/>
          <w:color w:val="231F20"/>
        </w:rPr>
        <w:t>We did not design and maintain effective controls related to the accounting for certain non-routine or complex transactions, including the proper application of U.S. GAAP to such transactions.</w:t>
      </w:r>
    </w:p>
    <w:p>
      <w:pPr>
        <w:spacing w:after="0" w:line="53" w:lineRule="exact"/>
        <w:rPr>
          <w:rFonts w:ascii="Arial" w:cs="Arial" w:eastAsia="Arial" w:hAnsi="Arial"/>
          <w:sz w:val="20"/>
          <w:szCs w:val="20"/>
          <w:color w:val="231F20"/>
        </w:rPr>
      </w:pPr>
    </w:p>
    <w:p>
      <w:pPr>
        <w:ind w:left="980" w:hanging="490"/>
        <w:spacing w:after="0" w:line="245" w:lineRule="auto"/>
        <w:tabs>
          <w:tab w:leader="none" w:pos="980" w:val="left"/>
        </w:tabs>
        <w:numPr>
          <w:ilvl w:val="0"/>
          <w:numId w:val="31"/>
        </w:numPr>
        <w:rPr>
          <w:rFonts w:ascii="Arial" w:cs="Arial" w:eastAsia="Arial" w:hAnsi="Arial"/>
          <w:sz w:val="20"/>
          <w:szCs w:val="20"/>
          <w:color w:val="231F20"/>
        </w:rPr>
      </w:pPr>
      <w:r>
        <w:rPr>
          <w:rFonts w:ascii="Arial" w:cs="Arial" w:eastAsia="Arial" w:hAnsi="Arial"/>
          <w:sz w:val="20"/>
          <w:szCs w:val="20"/>
          <w:color w:val="231F20"/>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97" w:lineRule="exact"/>
        <w:rPr>
          <w:sz w:val="20"/>
          <w:szCs w:val="20"/>
          <w:color w:val="auto"/>
        </w:rPr>
      </w:pPr>
    </w:p>
    <w:p>
      <w:pPr>
        <w:ind w:right="100" w:firstLine="490"/>
        <w:spacing w:after="0" w:line="248" w:lineRule="auto"/>
        <w:rPr>
          <w:sz w:val="20"/>
          <w:szCs w:val="20"/>
          <w:color w:val="auto"/>
        </w:rPr>
      </w:pPr>
      <w:r>
        <w:rPr>
          <w:rFonts w:ascii="Arial" w:cs="Arial" w:eastAsia="Arial" w:hAnsi="Arial"/>
          <w:sz w:val="20"/>
          <w:szCs w:val="20"/>
          <w:color w:val="231F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spacing w:after="0" w:line="194"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231F20"/>
        </w:rPr>
        <w:t>We cannot assure you that there will not be future material weaknesses in our internal control over financial reporting in the future. The failure to maintain effective internal control over financial reporting could severely inhibit our ability to accurately report our financial condition, results of operations, or cash flows. These identified material weaknesses, or any additional material weaknesses, in our internal control over financial reporting may cause investors to lose confidence in the accuracy and completeness of our financial reports and/or cause the market price of our common stock to decline, and we could be subject to sanctions or investigations by Nasdaq Global Select Market, the SEC or other regulatory authorities. Failure to remediate material weaknesses in our internal control over financial reporting, or to implement or maintain other effective control systems required of public companies, could also restrict our future access to the capital markets.</w:t>
      </w:r>
    </w:p>
    <w:p>
      <w:pPr>
        <w:spacing w:after="0" w:line="321" w:lineRule="exact"/>
        <w:rPr>
          <w:sz w:val="20"/>
          <w:szCs w:val="20"/>
          <w:color w:val="auto"/>
        </w:rPr>
      </w:pPr>
    </w:p>
    <w:p>
      <w:pPr>
        <w:jc w:val="both"/>
        <w:ind w:right="340"/>
        <w:spacing w:after="0" w:line="264" w:lineRule="auto"/>
        <w:rPr>
          <w:sz w:val="20"/>
          <w:szCs w:val="20"/>
          <w:color w:val="auto"/>
        </w:rPr>
      </w:pPr>
      <w:r>
        <w:rPr>
          <w:rFonts w:ascii="Arial" w:cs="Arial" w:eastAsia="Arial" w:hAnsi="Arial"/>
          <w:sz w:val="20"/>
          <w:szCs w:val="20"/>
          <w:b w:val="1"/>
          <w:bCs w:val="1"/>
          <w:i w:val="1"/>
          <w:iCs w:val="1"/>
          <w:color w:val="231F20"/>
        </w:rPr>
        <w:t>If in the future, we need to expand our research, development, and business capabilities and implement sales, marketing, and distribution capabilities, we may encounter difficulties in managing such growth, which could disrupt our operations.</w:t>
      </w:r>
    </w:p>
    <w:p>
      <w:pPr>
        <w:spacing w:after="0" w:line="47"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231F20"/>
        </w:rPr>
        <w:t>Although we effected a 2024 restructuring to reduce our workforce by approximately 50%, if the development of our product candidates progresses, we may experience growth in the scope of our operations, particularly in the areas of research, drug development, regulatory affairs and, if any of our product candidates receives regulatory approval, sales, marketing and distribution. To manage any such growth, we will need to implement and improve our managerial, operational, and financial systems, expand our facilities and recruit and train additional qualified personnel. Due to our limited financial resources and the limited experience of our management team in managing a company with such growth, we may not be able to effectively manage such an expansion of our operations or recruit and train additional qualified personnel. The expansion of our operations may also lead to significant costs and may divert our management and research and development resources. Any inability to manage growth could delay the execution of our business plans or disrupt our operations.</w:t>
      </w:r>
    </w:p>
    <w:p>
      <w:pPr>
        <w:spacing w:after="0" w:line="326"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b w:val="1"/>
          <w:bCs w:val="1"/>
          <w:i w:val="1"/>
          <w:iCs w:val="1"/>
          <w:color w:val="231F20"/>
        </w:rPr>
        <w:t>If we engage in future acquisitions or strategic collaborations, this may increase our capital requirements, dilute our stockholders, cause us to incur debt or assume contingent liabilities, and subject us to other risks.</w:t>
      </w:r>
    </w:p>
    <w:p>
      <w:pPr>
        <w:spacing w:after="0" w:line="22"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231F20"/>
        </w:rPr>
        <w:t>We have in the past and may from time to time in the future evaluate various acquisitions and strategic collaborations, including licensing or acquiring complementary drug products, intellectual property rights, technologies or businesses, as deemed appropriate to carry out our business plan. Any potential acquisition or strategic collaboration may entail numerous risks, including:</w:t>
      </w:r>
    </w:p>
    <w:p>
      <w:pPr>
        <w:spacing w:after="0" w:line="160" w:lineRule="exact"/>
        <w:rPr>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increased operating expenses and cash requirements;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the assumption of additional indebtedness or contingent liabilities;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the issuance of our equity securities which would result in dilution to our stockholders;</w:t>
      </w:r>
    </w:p>
    <w:p>
      <w:pPr>
        <w:spacing w:after="0" w:line="133" w:lineRule="exact"/>
        <w:rPr>
          <w:rFonts w:ascii="Arial" w:cs="Arial" w:eastAsia="Arial" w:hAnsi="Arial"/>
          <w:sz w:val="20"/>
          <w:szCs w:val="20"/>
          <w:color w:val="231F20"/>
        </w:rPr>
      </w:pPr>
    </w:p>
    <w:p>
      <w:pPr>
        <w:ind w:left="980" w:right="20" w:hanging="490"/>
        <w:spacing w:after="0" w:line="282" w:lineRule="auto"/>
        <w:tabs>
          <w:tab w:leader="none" w:pos="98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assimilation of operations, intellectual property and drug products of an acquired company, including difficulties associated with integrating new personnel;</w:t>
      </w:r>
    </w:p>
    <w:p>
      <w:pPr>
        <w:sectPr>
          <w:pgSz w:w="11880" w:h="15480" w:orient="portrait"/>
          <w:cols w:equalWidth="0" w:num="1">
            <w:col w:w="10800"/>
          </w:cols>
          <w:pgMar w:left="540" w:top="764" w:right="540" w:bottom="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800"/>
          </w:cols>
          <w:pgMar w:left="540" w:top="764" w:right="540" w:bottom="0" w:gutter="0" w:footer="0" w:header="0"/>
          <w:type w:val="continuous"/>
        </w:sectPr>
      </w:pPr>
    </w:p>
    <w:bookmarkStart w:id="44" w:name="page45"/>
    <w:bookmarkEnd w:id="44"/>
    <w:p>
      <w:pPr>
        <w:ind w:left="980" w:right="340" w:hanging="490"/>
        <w:spacing w:after="0" w:line="282" w:lineRule="auto"/>
        <w:tabs>
          <w:tab w:leader="none" w:pos="980" w:val="left"/>
        </w:tabs>
        <w:numPr>
          <w:ilvl w:val="0"/>
          <w:numId w:val="33"/>
        </w:numPr>
        <w:rPr>
          <w:rFonts w:ascii="Arial" w:cs="Arial" w:eastAsia="Arial" w:hAnsi="Arial"/>
          <w:sz w:val="20"/>
          <w:szCs w:val="20"/>
          <w:color w:val="231F20"/>
        </w:rPr>
      </w:pPr>
      <w:r>
        <w:rPr>
          <w:rFonts w:ascii="Arial" w:cs="Arial" w:eastAsia="Arial" w:hAnsi="Arial"/>
          <w:sz w:val="20"/>
          <w:szCs w:val="20"/>
          <w:color w:val="231F20"/>
        </w:rPr>
        <w:t>the diversion of our management’s attention from our existing drug development programs and initiatives in pursuing such a strategic partnership, merger, or acquisition;</w:t>
      </w:r>
    </w:p>
    <w:p>
      <w:pPr>
        <w:spacing w:after="0" w:line="53" w:lineRule="exact"/>
        <w:rPr>
          <w:rFonts w:ascii="Arial" w:cs="Arial" w:eastAsia="Arial" w:hAnsi="Arial"/>
          <w:sz w:val="20"/>
          <w:szCs w:val="20"/>
          <w:color w:val="231F20"/>
        </w:rPr>
      </w:pPr>
    </w:p>
    <w:p>
      <w:pPr>
        <w:ind w:left="980" w:right="140" w:hanging="490"/>
        <w:spacing w:after="0" w:line="282" w:lineRule="auto"/>
        <w:tabs>
          <w:tab w:leader="none" w:pos="980" w:val="left"/>
        </w:tabs>
        <w:numPr>
          <w:ilvl w:val="0"/>
          <w:numId w:val="33"/>
        </w:numPr>
        <w:rPr>
          <w:rFonts w:ascii="Arial" w:cs="Arial" w:eastAsia="Arial" w:hAnsi="Arial"/>
          <w:sz w:val="20"/>
          <w:szCs w:val="20"/>
          <w:color w:val="231F20"/>
        </w:rPr>
      </w:pPr>
      <w:r>
        <w:rPr>
          <w:rFonts w:ascii="Arial" w:cs="Arial" w:eastAsia="Arial" w:hAnsi="Arial"/>
          <w:sz w:val="20"/>
          <w:szCs w:val="20"/>
          <w:color w:val="231F20"/>
        </w:rPr>
        <w:t>retention of key employees, the loss of key personnel and uncertainties in our ability to maintain key business relationships;</w:t>
      </w:r>
    </w:p>
    <w:p>
      <w:pPr>
        <w:spacing w:after="0" w:line="53" w:lineRule="exact"/>
        <w:rPr>
          <w:rFonts w:ascii="Arial" w:cs="Arial" w:eastAsia="Arial" w:hAnsi="Arial"/>
          <w:sz w:val="20"/>
          <w:szCs w:val="20"/>
          <w:color w:val="231F20"/>
        </w:rPr>
      </w:pPr>
    </w:p>
    <w:p>
      <w:pPr>
        <w:ind w:left="980" w:right="380" w:hanging="490"/>
        <w:spacing w:after="0" w:line="282" w:lineRule="auto"/>
        <w:tabs>
          <w:tab w:leader="none" w:pos="980" w:val="left"/>
        </w:tabs>
        <w:numPr>
          <w:ilvl w:val="0"/>
          <w:numId w:val="33"/>
        </w:numPr>
        <w:rPr>
          <w:rFonts w:ascii="Arial" w:cs="Arial" w:eastAsia="Arial" w:hAnsi="Arial"/>
          <w:sz w:val="20"/>
          <w:szCs w:val="20"/>
          <w:color w:val="231F20"/>
        </w:rPr>
      </w:pPr>
      <w:r>
        <w:rPr>
          <w:rFonts w:ascii="Arial" w:cs="Arial" w:eastAsia="Arial" w:hAnsi="Arial"/>
          <w:sz w:val="20"/>
          <w:szCs w:val="20"/>
          <w:color w:val="231F20"/>
        </w:rPr>
        <w:t>risks and uncertainties associated with the other party to such a transaction, including the prospects of that party and their existing drugs or drug candidates and regulatory approvals; and</w:t>
      </w:r>
    </w:p>
    <w:p>
      <w:pPr>
        <w:spacing w:after="0" w:line="53" w:lineRule="exact"/>
        <w:rPr>
          <w:rFonts w:ascii="Arial" w:cs="Arial" w:eastAsia="Arial" w:hAnsi="Arial"/>
          <w:sz w:val="20"/>
          <w:szCs w:val="20"/>
          <w:color w:val="231F20"/>
        </w:rPr>
      </w:pPr>
    </w:p>
    <w:p>
      <w:pPr>
        <w:ind w:left="980" w:right="400" w:hanging="490"/>
        <w:spacing w:after="0" w:line="282" w:lineRule="auto"/>
        <w:tabs>
          <w:tab w:leader="none" w:pos="980" w:val="left"/>
        </w:tabs>
        <w:numPr>
          <w:ilvl w:val="0"/>
          <w:numId w:val="33"/>
        </w:numPr>
        <w:rPr>
          <w:rFonts w:ascii="Arial" w:cs="Arial" w:eastAsia="Arial" w:hAnsi="Arial"/>
          <w:sz w:val="20"/>
          <w:szCs w:val="20"/>
          <w:color w:val="231F20"/>
        </w:rPr>
      </w:pPr>
      <w:r>
        <w:rPr>
          <w:rFonts w:ascii="Arial" w:cs="Arial" w:eastAsia="Arial" w:hAnsi="Arial"/>
          <w:sz w:val="20"/>
          <w:szCs w:val="20"/>
          <w:color w:val="231F20"/>
        </w:rPr>
        <w:t>our inability to generate revenue from acquired technology and/or drugs sufficient to meet our objectives in undertaking the acquisition or even to offset the associated acquisition and maintenance costs.</w:t>
      </w:r>
    </w:p>
    <w:p>
      <w:pPr>
        <w:spacing w:after="0" w:line="160" w:lineRule="exact"/>
        <w:rPr>
          <w:sz w:val="20"/>
          <w:szCs w:val="20"/>
          <w:color w:val="auto"/>
        </w:rPr>
      </w:pPr>
    </w:p>
    <w:p>
      <w:pPr>
        <w:ind w:right="40" w:firstLine="490"/>
        <w:spacing w:after="0" w:line="282" w:lineRule="auto"/>
        <w:rPr>
          <w:sz w:val="20"/>
          <w:szCs w:val="20"/>
          <w:color w:val="auto"/>
        </w:rPr>
      </w:pPr>
      <w:r>
        <w:rPr>
          <w:rFonts w:ascii="Arial" w:cs="Arial" w:eastAsia="Arial" w:hAnsi="Arial"/>
          <w:sz w:val="20"/>
          <w:szCs w:val="20"/>
          <w:color w:val="231F20"/>
        </w:rPr>
        <w:t>In addition, if we undertake such a transaction, we may incur large one-time expenses and acquire intangible assets that could result in significant future amortization expense.</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Risks Related to Our Intellectual Property</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i w:val="1"/>
          <w:iCs w:val="1"/>
          <w:color w:val="231F20"/>
        </w:rPr>
        <w:t>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55" w:lineRule="exact"/>
        <w:rPr>
          <w:sz w:val="20"/>
          <w:szCs w:val="20"/>
          <w:color w:val="auto"/>
        </w:rPr>
      </w:pPr>
    </w:p>
    <w:p>
      <w:pPr>
        <w:ind w:firstLine="490"/>
        <w:spacing w:after="0" w:line="254" w:lineRule="auto"/>
        <w:rPr>
          <w:sz w:val="20"/>
          <w:szCs w:val="20"/>
          <w:color w:val="auto"/>
        </w:rPr>
      </w:pPr>
      <w:r>
        <w:rPr>
          <w:rFonts w:ascii="Arial" w:cs="Arial" w:eastAsia="Arial" w:hAnsi="Arial"/>
          <w:sz w:val="19"/>
          <w:szCs w:val="19"/>
          <w:color w:val="231F20"/>
        </w:rPr>
        <w:t>Our success depends in large part on our ability to obtain and maintain patent protection in the U.S. and other countries with respect to our product candidates. We seek to protect our proprietary position by developing and in-licensing intellectual property relating to our product candidates including patent applications in the U.S. and abroad related to our technology and product candidates that are important to our business. If we or our licensors do not adequately protect the intellectual property we in-license or own, competitors may be able to use our technologies and erode or negate any competitive advantage that we may have, which could harm our business and ability to achieve profitability. To protect our proprietary positions, we and our licensors file patent applications in the U.S. and abroad related to our novel technologies and product candidates that are important to our business. The patent application and prosecution process is expensive and time-consuming. We and our current licensors and licensees, or any future licensors and licensees, may not be able to file and prosecute all necessary or desirable patent applications at a reasonable cost or in a timely manner. We or our current licensors and licensees, or any future licensors or licensees may also fail to identify patentable aspects of our research and development before it is too late to obtain patent protection, or fail to continue to prosecute patents relating to our product candidates. Therefore, these and any of our in-licensed patents and patent applications may not be prosecuted and enforced in a manner consistent with the best interests of our business. It is possible that defects of form in the preparation or filing of our licensors’ patents or our patent applications may exist, or may arise in the future, such as with respect to proper priority claims, inventorship, claim scope or patent term adjustments. If our current licensors and licensees, or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We cannot predict whether the patent applications we and our licensors or licensees are currently pursuing will issue as patents in any particular jurisdiction or whether the claims of any issued patents will provide sufficient protection from competitors. If there are material defects in the form or preparation of our or our licensors’ patents or patent applications, such patents or applications may be invalid and unenforceable. Moreover, our competitors may independently develop equivalent knowledge, methods, and know-how, and we may not be able to prevent such competitors from commercializing such equivalent knowledge, methods, and know-how. Any of these outcomes could impair our ability to prevent competition from third parties and could have a material adverse effect on our business, financial condition, results of operations and growth prospects. The patent position of biotechnology and pharmaceutical companies generally is highly uncertain and has been the subject of much litigation in recent years. Changes in either the patent laws or interpretation of the patent laws in the U.S. and other countries may diminish the value of our patents or narrow the scope of our patent protection. In addition, the laws of foreign countries may not protect our rights to the same extent as the laws of the U.S. No consistent policy regarding the breadth of claims allowed in biotechnology and pharmaceutical patents has emerged to date in the U.S.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U.S., including the America Invents Act of 2011, and future changes in patent laws in or outside the U.S. may affect the scope, strength and enforceability of our patent rights or the nature of proceedings that may be brought by us related to our patent rights.</w:t>
      </w:r>
    </w:p>
    <w:p>
      <w:pPr>
        <w:sectPr>
          <w:pgSz w:w="11880" w:h="15480" w:orient="portrait"/>
          <w:cols w:equalWidth="0" w:num="1">
            <w:col w:w="10780"/>
          </w:cols>
          <w:pgMar w:left="540" w:top="76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780"/>
          </w:cols>
          <w:pgMar w:left="540" w:top="764" w:right="560" w:bottom="0" w:gutter="0" w:footer="0" w:header="0"/>
          <w:type w:val="continuous"/>
        </w:sectPr>
      </w:pPr>
    </w:p>
    <w:bookmarkStart w:id="45" w:name="page46"/>
    <w:bookmarkEnd w:id="45"/>
    <w:p>
      <w:pPr>
        <w:ind w:right="60" w:firstLine="490"/>
        <w:spacing w:after="0" w:line="243" w:lineRule="auto"/>
        <w:rPr>
          <w:sz w:val="20"/>
          <w:szCs w:val="20"/>
          <w:color w:val="auto"/>
        </w:rPr>
      </w:pPr>
      <w:r>
        <w:rPr>
          <w:rFonts w:ascii="Arial" w:cs="Arial" w:eastAsia="Arial" w:hAnsi="Arial"/>
          <w:sz w:val="20"/>
          <w:szCs w:val="20"/>
          <w:color w:val="231F20"/>
        </w:rPr>
        <w:t>We may not be aware of all third-party intellectual property rights potentially relating to our product candidates.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patents or pending patent applications that we in-license or own, or that we or our licensors were the first to file for patent protection of such inventions. As a result, the issuance, scope, validity and commercial value of our patent rights cannot be predicted with any certainty. Moreover, we or our licensors may be subject to a third-party pre-issuance submission of prior art to the U.S. Patent and Trademark Office (“USPTO”), or become involved in opposition, derivation, reexamination, inter partes review, or interference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w:t>
      </w:r>
    </w:p>
    <w:p>
      <w:pPr>
        <w:spacing w:after="0" w:line="203"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Our licensors’ pending and future patent applications and our own pending and future patent applications may not result in patents being issued that protect our technology or product candidates, in whole or in part, or which effectively prevent others from commercializing competitive technologies and products. Even if our or our licensors’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in-licensed patents or any patents we may own in the future by developing similar or alternative technologies or products in a non-infringing manner. Our competitors may seek to market generic versions of any approved products by submitting abbreviated NDAs to the FDA in which they claim that patents licensed by us or may be owned by us in the future are invalid, unenforceable, and/or not infringed. Alternatively, our competitors may seek approval to market their own products similar to or otherwise competitive with our product candidates. In these circumstances, we may need to defend and/or assert our in-licensed or owned patents, including by filing lawsuits alleging patent infringement. In any of these types of proceedings, a court, or other agency with jurisdiction may find our in-licensed patents or any owned patents, should such patents issue in the future, not infringed, invalid and/or unenforceable.</w:t>
      </w:r>
    </w:p>
    <w:p>
      <w:pPr>
        <w:spacing w:after="0" w:line="200"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The issuance of a patent is not conclusive as to its inventorship, scope, validity, or enforceability, and our in-licensed patents or patents we may own in the future may be challenged in the courts or patent offices in the U.S. and abroad. Such challenges may result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In addition, given the amount of time required for the development, testing, and regulatory review of new product candidates, patents protecting such candidates might expire before or shortly after such candidates are commercialized. Any impairment of our intellectual property rights, or our failure to protect our intellectual property rights adequately, could give third parties access to our technology and product candidates and could materially and adversely impact our business, financial condition, results of operations and growth prospects.</w:t>
      </w:r>
    </w:p>
    <w:p>
      <w:pPr>
        <w:spacing w:after="0" w:line="32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b w:val="1"/>
          <w:bCs w:val="1"/>
          <w:i w:val="1"/>
          <w:iCs w:val="1"/>
          <w:color w:val="231F20"/>
        </w:rPr>
        <w:t>Our rights to develop and commercialize our technology and our other product candidates are subject, in large part, to the terms and conditions of licenses granted to us by others, such as Anacor. If we fail to comply with our obligations in the agreements under which we in-license or acquire development or commercialization rights to products, technology, or data from third parties, we could lose such rights that are important to our business.</w:t>
      </w:r>
    </w:p>
    <w:p>
      <w:pPr>
        <w:spacing w:after="0" w:line="38"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color w:val="231F20"/>
        </w:rPr>
        <w:t>For certain product candidates, we rely on licenses to certain patent rights and other intellectual property that are important or necessary to the development of these product candidates. For example, we depend on a license agreement from Anacor, a biopharmaceutical company that originally developed epetraborole and is currently a wholly-owned subsidiary of Pfizer. Additionally, we have licensed our rights under the Anacor agreement in China, Hong Kong, Taiwan and Macau to Brii Biosciences.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780"/>
          </w:cols>
          <w:pgMar w:left="540" w:top="750" w:right="560" w:bottom="0" w:gutter="0" w:footer="0" w:header="0"/>
          <w:type w:val="continuous"/>
        </w:sectPr>
      </w:pPr>
    </w:p>
    <w:bookmarkStart w:id="46" w:name="page47"/>
    <w:bookmarkEnd w:id="46"/>
    <w:p>
      <w:pPr>
        <w:ind w:right="20" w:firstLine="490"/>
        <w:spacing w:after="0" w:line="243" w:lineRule="auto"/>
        <w:rPr>
          <w:sz w:val="20"/>
          <w:szCs w:val="20"/>
          <w:color w:val="auto"/>
        </w:rPr>
      </w:pPr>
      <w:r>
        <w:rPr>
          <w:rFonts w:ascii="Arial" w:cs="Arial" w:eastAsia="Arial" w:hAnsi="Arial"/>
          <w:sz w:val="20"/>
          <w:szCs w:val="20"/>
          <w:color w:val="231F20"/>
        </w:rPr>
        <w:t>Anacor has relied upon, our other licensors may have relied upon, and any future licensors may rely upon, third-party companies, consultants or collaborators, or on funds from third parties such that our licensors are not the sole and exclusive owners of the patents we in-licensed. We have sublicensed certain patents from Anacor that are owned, maintained and prosecuted by GlaxoSmithKline plc (“GSK”). If third-party companies such as GSK fail to prosecute, maintain, enforce and defend such patents, or lose rights to those patents, the rights we have licensed may be reduced or eliminated, and our right to develop and commercialize our product candidates that are the subject of such licensed rights could be adversely affected. Further, we rely upon Anacor’s compliance with its license agreement with GSK to maintain our sublicense to such patents owned by GSK, and any termination of Anacor’s license agreement with GSK could result in us losing our license to epetraborole. Further development and commercialization of our product candidates may require us to enter into additional license or collaboration agreements. Our future licenses may not provide us with exclusive rights to use the licensed patent rights and other intellectual property, or may not provide us with exclusive rights to use such patent rights and intellectual property in all relevant fields of use and in all territories in which we wish to develop or commercialize our product candidates in the future.</w:t>
      </w:r>
    </w:p>
    <w:p>
      <w:pPr>
        <w:spacing w:after="0" w:line="203"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231F20"/>
        </w:rPr>
        <w:t>Our license agreement with Anacor, and other intellectual property-related agreements we have entered into and may in the future enter into may impose diligence and other obligations, including payment of milestones and royalties. For example, our license agreement from Anacor requires us to satisfy diligence requirements, including using commercially reasonable efforts to develop and commercialize products. If we fail to comply with our obligations to Anacor or any other or future licensors, those counterparties may have the right to terminate the license agreements, in which event we might not be able to develop, manufacture, or market any product candidate licensed under the agreements, which could materially adversely affect the value of the product candidate being developed under any such agreement and further involve termination of our rights to important intellectual property or technology.</w:t>
      </w:r>
    </w:p>
    <w:p>
      <w:pPr>
        <w:spacing w:after="0" w:line="194"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In spite of our efforts, Anacor might conclude, or any other or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business, financial condition, results of operations and growth prospects.</w:t>
      </w:r>
    </w:p>
    <w:p>
      <w:pPr>
        <w:spacing w:after="0" w:line="206"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231F20"/>
        </w:rPr>
        <w:t>Under our license agreement with Anacor, and any other or future license agreements, disputes may arise regarding intellectual property subject to a licensing agreement, including:</w:t>
      </w:r>
    </w:p>
    <w:p>
      <w:pPr>
        <w:spacing w:after="0" w:line="53" w:lineRule="exact"/>
        <w:rPr>
          <w:sz w:val="20"/>
          <w:szCs w:val="20"/>
          <w:color w:val="auto"/>
        </w:rPr>
      </w:pPr>
    </w:p>
    <w:p>
      <w:pPr>
        <w:ind w:left="980" w:hanging="490"/>
        <w:spacing w:after="0"/>
        <w:tabs>
          <w:tab w:leader="none" w:pos="980" w:val="left"/>
        </w:tabs>
        <w:numPr>
          <w:ilvl w:val="0"/>
          <w:numId w:val="34"/>
        </w:numPr>
        <w:rPr>
          <w:rFonts w:ascii="Arial" w:cs="Arial" w:eastAsia="Arial" w:hAnsi="Arial"/>
          <w:sz w:val="20"/>
          <w:szCs w:val="20"/>
          <w:color w:val="231F20"/>
        </w:rPr>
      </w:pPr>
      <w:r>
        <w:rPr>
          <w:rFonts w:ascii="Arial" w:cs="Arial" w:eastAsia="Arial" w:hAnsi="Arial"/>
          <w:sz w:val="20"/>
          <w:szCs w:val="20"/>
          <w:color w:val="231F20"/>
        </w:rPr>
        <w:t>the scope of rights granted under the license agreement and other interpretation-related issues;</w:t>
      </w:r>
    </w:p>
    <w:p>
      <w:pPr>
        <w:spacing w:after="0" w:line="133" w:lineRule="exact"/>
        <w:rPr>
          <w:rFonts w:ascii="Arial" w:cs="Arial" w:eastAsia="Arial" w:hAnsi="Arial"/>
          <w:sz w:val="20"/>
          <w:szCs w:val="20"/>
          <w:color w:val="231F20"/>
        </w:rPr>
      </w:pPr>
    </w:p>
    <w:p>
      <w:pPr>
        <w:ind w:left="980" w:right="400" w:hanging="490"/>
        <w:spacing w:after="0" w:line="282" w:lineRule="auto"/>
        <w:tabs>
          <w:tab w:leader="none" w:pos="980" w:val="left"/>
        </w:tabs>
        <w:numPr>
          <w:ilvl w:val="0"/>
          <w:numId w:val="34"/>
        </w:numPr>
        <w:rPr>
          <w:rFonts w:ascii="Arial" w:cs="Arial" w:eastAsia="Arial" w:hAnsi="Arial"/>
          <w:sz w:val="20"/>
          <w:szCs w:val="20"/>
          <w:color w:val="231F20"/>
        </w:rPr>
      </w:pPr>
      <w:r>
        <w:rPr>
          <w:rFonts w:ascii="Arial" w:cs="Arial" w:eastAsia="Arial" w:hAnsi="Arial"/>
          <w:sz w:val="20"/>
          <w:szCs w:val="20"/>
          <w:color w:val="231F20"/>
        </w:rPr>
        <w:t>the extent to which our technology and processes infringe on intellectual property of the licensor that is not subject to the licensing agreement;</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34"/>
        </w:numPr>
        <w:rPr>
          <w:rFonts w:ascii="Arial" w:cs="Arial" w:eastAsia="Arial" w:hAnsi="Arial"/>
          <w:sz w:val="20"/>
          <w:szCs w:val="20"/>
          <w:color w:val="231F20"/>
        </w:rPr>
      </w:pPr>
      <w:r>
        <w:rPr>
          <w:rFonts w:ascii="Arial" w:cs="Arial" w:eastAsia="Arial" w:hAnsi="Arial"/>
          <w:sz w:val="20"/>
          <w:szCs w:val="20"/>
          <w:color w:val="231F20"/>
        </w:rPr>
        <w:t>the sublicensing of patent and other rights under our collaborative development relationships;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4"/>
        </w:numPr>
        <w:rPr>
          <w:rFonts w:ascii="Arial" w:cs="Arial" w:eastAsia="Arial" w:hAnsi="Arial"/>
          <w:sz w:val="20"/>
          <w:szCs w:val="20"/>
          <w:color w:val="231F20"/>
        </w:rPr>
      </w:pPr>
      <w:r>
        <w:rPr>
          <w:rFonts w:ascii="Arial" w:cs="Arial" w:eastAsia="Arial" w:hAnsi="Arial"/>
          <w:sz w:val="20"/>
          <w:szCs w:val="20"/>
          <w:color w:val="231F20"/>
        </w:rPr>
        <w:t>our diligence obligations under the license agreement and what activities satisfy those diligence obligations;</w:t>
      </w:r>
    </w:p>
    <w:p>
      <w:pPr>
        <w:spacing w:after="0" w:line="133" w:lineRule="exact"/>
        <w:rPr>
          <w:rFonts w:ascii="Arial" w:cs="Arial" w:eastAsia="Arial" w:hAnsi="Arial"/>
          <w:sz w:val="20"/>
          <w:szCs w:val="20"/>
          <w:color w:val="231F20"/>
        </w:rPr>
      </w:pPr>
    </w:p>
    <w:p>
      <w:pPr>
        <w:ind w:left="980" w:right="880" w:hanging="490"/>
        <w:spacing w:after="0" w:line="282" w:lineRule="auto"/>
        <w:tabs>
          <w:tab w:leader="none" w:pos="980" w:val="left"/>
        </w:tabs>
        <w:numPr>
          <w:ilvl w:val="0"/>
          <w:numId w:val="34"/>
        </w:numPr>
        <w:rPr>
          <w:rFonts w:ascii="Arial" w:cs="Arial" w:eastAsia="Arial" w:hAnsi="Arial"/>
          <w:sz w:val="20"/>
          <w:szCs w:val="20"/>
          <w:color w:val="231F20"/>
        </w:rPr>
      </w:pPr>
      <w:r>
        <w:rPr>
          <w:rFonts w:ascii="Arial" w:cs="Arial" w:eastAsia="Arial" w:hAnsi="Arial"/>
          <w:sz w:val="20"/>
          <w:szCs w:val="20"/>
          <w:color w:val="231F20"/>
        </w:rPr>
        <w:t>the inventorship and ownership of inventions and know-how resulting from the joint creation or use of intellectual property by our licensors and us and our partners; and</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34"/>
        </w:numPr>
        <w:rPr>
          <w:rFonts w:ascii="Arial" w:cs="Arial" w:eastAsia="Arial" w:hAnsi="Arial"/>
          <w:sz w:val="20"/>
          <w:szCs w:val="20"/>
          <w:color w:val="231F20"/>
        </w:rPr>
      </w:pPr>
      <w:r>
        <w:rPr>
          <w:rFonts w:ascii="Arial" w:cs="Arial" w:eastAsia="Arial" w:hAnsi="Arial"/>
          <w:sz w:val="20"/>
          <w:szCs w:val="20"/>
          <w:color w:val="231F20"/>
        </w:rPr>
        <w:t>the priority of invention of patented technology.</w:t>
      </w:r>
    </w:p>
    <w:p>
      <w:pPr>
        <w:spacing w:after="0" w:line="240"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231F20"/>
        </w:rPr>
        <w:t>In addition, the license agreements involving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growth prospects.</w:t>
      </w:r>
    </w:p>
    <w:p>
      <w:pPr>
        <w:sectPr>
          <w:pgSz w:w="11880" w:h="15480" w:orient="portrait"/>
          <w:cols w:equalWidth="0" w:num="1">
            <w:col w:w="10780"/>
          </w:cols>
          <w:pgMar w:left="540" w:top="750" w:right="560"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780"/>
          </w:cols>
          <w:pgMar w:left="540" w:top="750" w:right="560" w:bottom="0" w:gutter="0" w:footer="0" w:header="0"/>
          <w:type w:val="continuous"/>
        </w:sectPr>
      </w:pPr>
    </w:p>
    <w:bookmarkStart w:id="47" w:name="page48"/>
    <w:bookmarkEnd w:id="47"/>
    <w:p>
      <w:pPr>
        <w:ind w:right="500"/>
        <w:spacing w:after="0" w:line="289" w:lineRule="auto"/>
        <w:rPr>
          <w:sz w:val="20"/>
          <w:szCs w:val="20"/>
          <w:color w:val="auto"/>
        </w:rPr>
      </w:pPr>
      <w:r>
        <w:rPr>
          <w:rFonts w:ascii="Arial" w:cs="Arial" w:eastAsia="Arial" w:hAnsi="Arial"/>
          <w:sz w:val="20"/>
          <w:szCs w:val="20"/>
          <w:b w:val="1"/>
          <w:bCs w:val="1"/>
          <w:i w:val="1"/>
          <w:iCs w:val="1"/>
          <w:color w:val="231F20"/>
        </w:rPr>
        <w:t>We may not be successful in obtaining necessary rights to any product candidates we may develop through acquisitions and in-licenses.</w:t>
      </w:r>
    </w:p>
    <w:p>
      <w:pPr>
        <w:spacing w:after="0" w:line="22"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231F20"/>
        </w:rPr>
        <w:t>We currently have rights to intellectual property through licenses from third parties, including Anacor, to identify and develop product candidates. We may find it necessary or prudent to obtain licenses from other third-party intellectual property holders in order to avoid infringing these third-party patents. For example, many pharmaceutical companies, biotechnology companies and academic institutions compete with us and may be filing patent applications that are potentially relevant to our business.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license any intellectual property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spacing w:after="0" w:line="324" w:lineRule="exact"/>
        <w:rPr>
          <w:sz w:val="20"/>
          <w:szCs w:val="20"/>
          <w:color w:val="auto"/>
        </w:rPr>
      </w:pPr>
    </w:p>
    <w:p>
      <w:pPr>
        <w:ind w:right="160"/>
        <w:spacing w:after="0" w:line="289" w:lineRule="auto"/>
        <w:rPr>
          <w:sz w:val="20"/>
          <w:szCs w:val="20"/>
          <w:color w:val="auto"/>
        </w:rPr>
      </w:pPr>
      <w:r>
        <w:rPr>
          <w:rFonts w:ascii="Arial" w:cs="Arial" w:eastAsia="Arial" w:hAnsi="Arial"/>
          <w:sz w:val="20"/>
          <w:szCs w:val="20"/>
          <w:b w:val="1"/>
          <w:bCs w:val="1"/>
          <w:i w:val="1"/>
          <w:iCs w:val="1"/>
          <w:color w:val="231F20"/>
        </w:rPr>
        <w:t>We may become involved in lawsuits to protect or enforce our owned or in-licensed patents or other intellectual property, which could be expensive, time-consuming and unsuccessful.</w:t>
      </w:r>
    </w:p>
    <w:p>
      <w:pPr>
        <w:spacing w:after="0" w:line="22" w:lineRule="exact"/>
        <w:rPr>
          <w:sz w:val="20"/>
          <w:szCs w:val="20"/>
          <w:color w:val="auto"/>
        </w:rPr>
      </w:pPr>
    </w:p>
    <w:p>
      <w:pPr>
        <w:ind w:firstLine="490"/>
        <w:spacing w:after="0" w:line="241" w:lineRule="auto"/>
        <w:rPr>
          <w:sz w:val="20"/>
          <w:szCs w:val="20"/>
          <w:color w:val="auto"/>
        </w:rPr>
      </w:pPr>
      <w:r>
        <w:rPr>
          <w:rFonts w:ascii="Arial" w:cs="Arial" w:eastAsia="Arial" w:hAnsi="Arial"/>
          <w:sz w:val="20"/>
          <w:szCs w:val="20"/>
          <w:color w:val="231F20"/>
        </w:rPr>
        <w:t>Competitors or other third parties may infringe, misappropriate or otherwise violate our in-licensed issued patents or other intellectual property rights we may own. To counter such infringement, misappropriation, violation or other unauthorized use, we may be required to file infringement claims, which can be expensive and time-consuming and divert the time and attention of our management and scientific personnel. Any claims we assert against third parties could provoke these parties to assert counterclaims against us alleging that we infringe, misappropriate or otherwise violate their patents, trademarks, copyrights or other intellectual property rights. In addition, our in-licensed patents may become involved in inventorship or priority disputes. Third parties may raise challenges to the validity of certain of our in-licensed patent claims and may in the future raise similar claims before administrative bodies in the U.S. or abroad, even outside the context of litigation. For example, we may be subject to a third-party pre-issuance submission of prior art to the USPTO, or become involved in derivation, revocation, reexamination, post-grant review (“PGR”), inter partes review (“IPR”), interference proceedings and equivalent proceedings in foreign jurisdictions, such as opposition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In a patent infringement proceeding, there is a risk that a court will decide that a patent we own or in-license is invalid or unenforceable, in whole or in part, and that we do not have the right to stop the other party from using the invention at issue. There is also a risk that, even if the validity of such patents are upheld, the court will construe the patent’s claims narrowly or decide that we do not have the right to stop the other party from using the invention at issue on the grounds that our owned or in-licensed patents do not cover the invention. An adverse outcome in a litigation or proceeding involving our owned or in-licensed patents could limit our ability to assert our owned or in-licensed patents against those parties or other competitors and may curtail or preclude our ability to exclude third parties from making and selling similar or competitive products. Similarly, in the future, we expect to rely on trademarks to distinguish our product candidates that are approved for marketing, if any, and if we assert trademark infringement claims, a court may determine that the marks we have asserted are invalid or unenforceable, or that the third party against whom we have asserted trademark infringement has superior rights to the marks in question. In this case, we could ultimately be forced to cease use of such trademarks.</w:t>
      </w:r>
    </w:p>
    <w:p>
      <w:pPr>
        <w:sectPr>
          <w:pgSz w:w="11880" w:h="15480" w:orient="portrait"/>
          <w:cols w:equalWidth="0" w:num="1">
            <w:col w:w="10780"/>
          </w:cols>
          <w:pgMar w:left="540" w:top="75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780"/>
          </w:cols>
          <w:pgMar w:left="540" w:top="754" w:right="560" w:bottom="0" w:gutter="0" w:footer="0" w:header="0"/>
          <w:type w:val="continuous"/>
        </w:sectPr>
      </w:pPr>
    </w:p>
    <w:bookmarkStart w:id="48" w:name="page49"/>
    <w:bookmarkEnd w:id="48"/>
    <w:p>
      <w:pPr>
        <w:ind w:right="80" w:firstLine="490"/>
        <w:spacing w:after="0" w:line="242" w:lineRule="auto"/>
        <w:rPr>
          <w:sz w:val="20"/>
          <w:szCs w:val="20"/>
          <w:color w:val="auto"/>
        </w:rPr>
      </w:pPr>
      <w:r>
        <w:rPr>
          <w:rFonts w:ascii="Arial" w:cs="Arial" w:eastAsia="Arial" w:hAnsi="Arial"/>
          <w:sz w:val="20"/>
          <w:szCs w:val="20"/>
          <w:color w:val="231F20"/>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or trade secrets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adequately file and pursue such infringement claims, which typically last for years before they are concluded. Some of our competitors and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otherwise violating or successfully challenging our intellectual property rights. Uncertainties resulting from the initiation and continuation of patent litigation or other proceedings could have a negative impact on our ability to compete in the marketplace, which could have a material adverse effect on our business, financial condition, results of operations and growth prospects.</w:t>
      </w:r>
    </w:p>
    <w:p>
      <w:pPr>
        <w:spacing w:after="0" w:line="334"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b w:val="1"/>
          <w:bCs w:val="1"/>
          <w:i w:val="1"/>
          <w:iCs w:val="1"/>
          <w:color w:val="231F20"/>
        </w:rPr>
        <w:t>Third parties may initiate legal proceedings alleging that we are infringing, misappropriating, or otherwise violating their intellectual property rights, the outcome of which would be uncertain and could significantly harm our business.</w:t>
      </w:r>
    </w:p>
    <w:p>
      <w:pPr>
        <w:spacing w:after="0" w:line="47" w:lineRule="exact"/>
        <w:rPr>
          <w:sz w:val="20"/>
          <w:szCs w:val="20"/>
          <w:color w:val="auto"/>
        </w:rPr>
      </w:pPr>
    </w:p>
    <w:p>
      <w:pPr>
        <w:ind w:right="360" w:firstLine="490"/>
        <w:spacing w:after="0" w:line="248" w:lineRule="auto"/>
        <w:rPr>
          <w:sz w:val="20"/>
          <w:szCs w:val="20"/>
          <w:color w:val="auto"/>
        </w:rPr>
      </w:pPr>
      <w:r>
        <w:rPr>
          <w:rFonts w:ascii="Arial" w:cs="Arial" w:eastAsia="Arial" w:hAnsi="Arial"/>
          <w:sz w:val="20"/>
          <w:szCs w:val="20"/>
          <w:color w:val="231F20"/>
        </w:rPr>
        <w:t>Our commercial success depends, in part, on our ability to develop, manufacture, market and sell our product candidates and use our proprietary chemistry technology without infringing, misappropriating or otherwise violating the intellectual property rights of third parties. Numerous third-party U.S. and non-U.S. issued patents exist in the area of antibacterial treatment, including compounds, formulations, treatment methods and synthetic processes that may be applied towards the synthesis of antibiotics. If any such patents of third parties cover our product candidates or technologies, we may not be free to manufacture or market our product candidates as planned.</w:t>
      </w:r>
    </w:p>
    <w:p>
      <w:pPr>
        <w:spacing w:after="0" w:line="194"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231F20"/>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Third parties may assert claims against us based on existing or future intellectual property rights. The outcome of intellectual property litigation is subject to uncertainties that cannot be adequately quantified in advance.</w:t>
      </w:r>
    </w:p>
    <w:p>
      <w:pPr>
        <w:spacing w:after="0" w:line="192" w:lineRule="exact"/>
        <w:rPr>
          <w:sz w:val="20"/>
          <w:szCs w:val="20"/>
          <w:color w:val="auto"/>
        </w:rPr>
      </w:pPr>
    </w:p>
    <w:p>
      <w:pPr>
        <w:ind w:right="40" w:firstLine="490"/>
        <w:spacing w:after="0" w:line="241" w:lineRule="auto"/>
        <w:rPr>
          <w:sz w:val="20"/>
          <w:szCs w:val="20"/>
          <w:color w:val="auto"/>
        </w:rPr>
      </w:pPr>
      <w:r>
        <w:rPr>
          <w:rFonts w:ascii="Arial" w:cs="Arial" w:eastAsia="Arial" w:hAnsi="Arial"/>
          <w:sz w:val="20"/>
          <w:szCs w:val="20"/>
          <w:color w:val="231F20"/>
        </w:rPr>
        <w:t>If we are found to have infringed, misappropriated or otherwise violated any third party’s intellectual property rights, we could be forced, including by court order, to cease developing, manufacturing, or commercializing our product candidates. Alternatively, we may be required to obtain a license from such third party in order to use technology and continue developing, manufacturing or marketing product candidates that infringe, misappropriate or otherwise violate such third party’s intellectual property rights. However, we may not be able to obtain any such required license on commercially reasonable terms or at all. Even if we were able to obtain a license, it could be non-exclusive, thereby giving our competitors access to the same technologies licensed to us. We may also be required to pay substantial ongoing royalty or license payments or fees or comply with other unfavorable terms.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we were to prevail in such a dispute, any litigation regarding our intellectual property rights could be costly and time-consuming and divert the attention of our management and key personnel from our business operations. Furthermore, because of the substantial amount of discovery required in connection with intellectual property litigation, there is a risk that some of our confidential information or trade secrets could be compromised by disclosure during this type of litigation. During the course of litigation, there could be public announcements or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customer or former customer, regardless of its accuracy, may adversely impact our other customer relationships or prospective customer relationships, harm our brand and business and could cause the market price of our common stock to decline. Any of the foregoing arising from uncertainty in legal proceedings could materially and adversely impact our business, financial condition, results of operations and growth prospects.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800"/>
          </w:cols>
          <w:pgMar w:left="540" w:top="750" w:right="540" w:bottom="0" w:gutter="0" w:footer="0" w:header="0"/>
          <w:type w:val="continuous"/>
        </w:sectPr>
      </w:pPr>
    </w:p>
    <w:bookmarkStart w:id="49" w:name="page50"/>
    <w:bookmarkEnd w:id="49"/>
    <w:p>
      <w:pPr>
        <w:jc w:val="both"/>
        <w:ind w:right="20"/>
        <w:spacing w:after="0" w:line="264" w:lineRule="auto"/>
        <w:rPr>
          <w:sz w:val="20"/>
          <w:szCs w:val="20"/>
          <w:color w:val="auto"/>
        </w:rPr>
      </w:pPr>
      <w:r>
        <w:rPr>
          <w:rFonts w:ascii="Arial" w:cs="Arial" w:eastAsia="Arial" w:hAnsi="Arial"/>
          <w:sz w:val="20"/>
          <w:szCs w:val="20"/>
          <w:b w:val="1"/>
          <w:bCs w:val="1"/>
          <w:i w:val="1"/>
          <w:iCs w:val="1"/>
          <w:color w:val="231F20"/>
        </w:rPr>
        <w:t>We may be subject to claims by third parties asserting that we or our employees, consultants and advisors have misappropriated their intellectual property rights or claiming ownership of what we regard as our own intellectual property rights.</w:t>
      </w:r>
    </w:p>
    <w:p>
      <w:pPr>
        <w:spacing w:after="0" w:line="47"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231F20"/>
        </w:rPr>
        <w:t>Many of our employees, consultants and advisors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such employees, consultants and advisors have inadvertently or otherwise used or disclosed intellectual property, including trade secrets or other proprietary information, of any such individual’s former employer. We may also in the future be subject to claims that we have caused an employee to breach the terms of his or her non-competition or non-solicitation agreement. Litigation may be necessary to defend against these potential claims.</w:t>
      </w:r>
    </w:p>
    <w:p>
      <w:pPr>
        <w:spacing w:after="0" w:line="194"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231F20"/>
        </w:rPr>
        <w:t>In addition, while it is our policy to require our employees and contractors who may be involved in the development of intellectual property rights to execute agreements assigning such intellectual property rights to us, such employees and contractors may breach the agreement and claim the developed intellectual property as their own. Further, we may be unsuccessful in executing such agreements with each party who, in fact, conceives, or develops intellectual property that we regard as our own. The assignment of intellectual property may not be self-executing and we may be forced to bring claims against third parties, or defend claims that they may bring against us, to determine the ownership of what we regard as our intellectual property.</w:t>
      </w:r>
    </w:p>
    <w:p>
      <w:pPr>
        <w:spacing w:after="0" w:line="193" w:lineRule="exact"/>
        <w:rPr>
          <w:sz w:val="20"/>
          <w:szCs w:val="20"/>
          <w:color w:val="auto"/>
        </w:rPr>
      </w:pPr>
    </w:p>
    <w:p>
      <w:pPr>
        <w:ind w:right="140" w:firstLine="490"/>
        <w:spacing w:after="0" w:line="245" w:lineRule="auto"/>
        <w:rPr>
          <w:sz w:val="20"/>
          <w:szCs w:val="20"/>
          <w:color w:val="auto"/>
        </w:rPr>
      </w:pPr>
      <w:r>
        <w:rPr>
          <w:rFonts w:ascii="Arial" w:cs="Arial" w:eastAsia="Arial" w:hAnsi="Arial"/>
          <w:sz w:val="20"/>
          <w:szCs w:val="20"/>
          <w:color w:val="231F20"/>
        </w:rPr>
        <w:t>If we fail in prosecuting or defending any such claims, in addition to paying monetary damages, we may lose valuable intellectual property rights or personnel. A court could prohibit us from using technologies or features that are essential to our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 candidates. Any of the foregoing could have a material adverse impact on our business, financial condition, results of operations and growth prospects.</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Any trademarks we may obtain may be infringed or successfully challenged, resulting in harm to our business.</w:t>
      </w:r>
    </w:p>
    <w:p>
      <w:pPr>
        <w:spacing w:after="0" w:line="116" w:lineRule="exact"/>
        <w:rPr>
          <w:sz w:val="20"/>
          <w:szCs w:val="20"/>
          <w:color w:val="auto"/>
        </w:rPr>
      </w:pPr>
    </w:p>
    <w:p>
      <w:pPr>
        <w:ind w:right="80" w:firstLine="490"/>
        <w:spacing w:after="0" w:line="244" w:lineRule="auto"/>
        <w:rPr>
          <w:sz w:val="20"/>
          <w:szCs w:val="20"/>
          <w:color w:val="auto"/>
        </w:rPr>
      </w:pPr>
      <w:r>
        <w:rPr>
          <w:rFonts w:ascii="Arial" w:cs="Arial" w:eastAsia="Arial" w:hAnsi="Arial"/>
          <w:sz w:val="20"/>
          <w:szCs w:val="20"/>
          <w:color w:val="231F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who have prior rights to our trademarks or third parties who have prior rights to similar trademarks may oppose our trademark applications, or otherwise challenge our use of the trademarks.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diluting or impeding our ability to build brand identity and possibly leading to market confusion. Our competitors may infringe our trademarks and we may not have adequate resources to enforce our trademarks and may not be able to prevent such third parties from using and marketing any such trademarks.</w:t>
      </w:r>
    </w:p>
    <w:p>
      <w:pPr>
        <w:spacing w:after="0" w:line="198"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231F20"/>
        </w:rPr>
        <w:t>In addition, any proprietary name we propose to use with any product candidate in the U.S.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If we are unable to establish name recognition based on our trademarks, we may not be able to compete effectively and our business, financial condition, results of operations and growth prospects may be adversely affected.</w:t>
      </w:r>
    </w:p>
    <w:p>
      <w:pPr>
        <w:sectPr>
          <w:pgSz w:w="11880" w:h="15480" w:orient="portrait"/>
          <w:cols w:equalWidth="0" w:num="1">
            <w:col w:w="10800"/>
          </w:cols>
          <w:pgMar w:left="540" w:top="75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800"/>
          </w:cols>
          <w:pgMar w:left="540" w:top="754" w:right="540" w:bottom="0" w:gutter="0" w:footer="0" w:header="0"/>
          <w:type w:val="continuous"/>
        </w:sectPr>
      </w:pPr>
    </w:p>
    <w:bookmarkStart w:id="50" w:name="page51"/>
    <w:bookmarkEnd w:id="50"/>
    <w:p>
      <w:pPr>
        <w:ind w:right="40"/>
        <w:spacing w:after="0" w:line="264" w:lineRule="auto"/>
        <w:rPr>
          <w:sz w:val="20"/>
          <w:szCs w:val="20"/>
          <w:color w:val="auto"/>
        </w:rPr>
      </w:pPr>
      <w:r>
        <w:rPr>
          <w:rFonts w:ascii="Arial" w:cs="Arial" w:eastAsia="Arial" w:hAnsi="Arial"/>
          <w:sz w:val="20"/>
          <w:szCs w:val="20"/>
          <w:b w:val="1"/>
          <w:bCs w:val="1"/>
          <w:i w:val="1"/>
          <w:iCs w:val="1"/>
          <w:color w:val="231F20"/>
        </w:rPr>
        <w:t>If we are unable to protect the confidentiality of our proprietary information, know-how and trade secrets, the value of our product candidates could be adversely affected and our business and competitive position would be harmed.</w:t>
      </w:r>
    </w:p>
    <w:p>
      <w:pPr>
        <w:spacing w:after="0" w:line="47" w:lineRule="exact"/>
        <w:rPr>
          <w:sz w:val="20"/>
          <w:szCs w:val="20"/>
          <w:color w:val="auto"/>
        </w:rPr>
      </w:pPr>
    </w:p>
    <w:p>
      <w:pPr>
        <w:ind w:right="40" w:firstLine="490"/>
        <w:spacing w:after="0" w:line="242" w:lineRule="auto"/>
        <w:rPr>
          <w:sz w:val="20"/>
          <w:szCs w:val="20"/>
          <w:color w:val="auto"/>
        </w:rPr>
      </w:pPr>
      <w:r>
        <w:rPr>
          <w:rFonts w:ascii="Arial" w:cs="Arial" w:eastAsia="Arial" w:hAnsi="Arial"/>
          <w:sz w:val="20"/>
          <w:szCs w:val="20"/>
          <w:color w:val="231F20"/>
        </w:rPr>
        <w:t>In addition to seeking patent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agreements may be inadequate to protect our proprietary and intellectual property rights. Despite these efforts, any of these parties may breach the agreements and disclose our proprietary information, including our trade secrets. In addition, we may not be able to obtain adequate remedies for any such breaches. Although we use reasonable efforts to protect this proprietary information and technology, we also cannot guarantee that we have entered into such agreements with each party that may have or have had access to our confidential information, know-how, trade secrets or other proprietary information or each individual who has developed intellectual property on our behalf. Monitoring unauthorized uses and disclosures of our intellectual property is difficult, and we do not know whether the steps we have taken to protect our intellectual property rights will be effective. Enforcing a claim that a party illegally disclosed or misappropriated a trade secret is difficult, expensive, distracting to management, and time-consuming, and the outcome is unpredictable and varied depending on the jurisdiction. In addition, some courts inside and outside the U.S., in countries in which we operate or intend to operate, are less willing, or unwilling, to protect trade secrets, know-how and other proprietary information. Any claims or litigation could cause us to incur significant expenses. Some third parties may be able to sustain the costs of complex litigation more effectively than we can because they have substantially greater resources.</w:t>
      </w:r>
    </w:p>
    <w:p>
      <w:pPr>
        <w:spacing w:after="0" w:line="204"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Our employees, consultants, and other parties may unintentionally or willfully disclose our information or technology to competitors and there can be no assurance that the legal protections and precaution taken by us will be adequate to prevent misappropriation of our technology or that competitors will not independently develop technologies equivalent or superior to ours. Trade secrets and know-how can be difficult to protect. Our competitors or other third parties may independently develop knowledge, methods and know-how equivalent to our trade secrets. Additionally, competitors could purchase our product candidates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from using that technology or information to compete with us. If any of our trade secrets were to be disclosed to or independently developed by a competitor, our competitive position would be harmed, which could have a material adverse effect on our business, financial condition, results of operations and growth prospects.</w:t>
      </w:r>
    </w:p>
    <w:p>
      <w:pPr>
        <w:spacing w:after="0" w:line="322" w:lineRule="exact"/>
        <w:rPr>
          <w:sz w:val="20"/>
          <w:szCs w:val="20"/>
          <w:color w:val="auto"/>
        </w:rPr>
      </w:pPr>
    </w:p>
    <w:p>
      <w:pPr>
        <w:ind w:right="180"/>
        <w:spacing w:after="0" w:line="289" w:lineRule="auto"/>
        <w:rPr>
          <w:sz w:val="20"/>
          <w:szCs w:val="20"/>
          <w:color w:val="auto"/>
        </w:rPr>
      </w:pPr>
      <w:r>
        <w:rPr>
          <w:rFonts w:ascii="Arial" w:cs="Arial" w:eastAsia="Arial" w:hAnsi="Arial"/>
          <w:sz w:val="20"/>
          <w:szCs w:val="20"/>
          <w:b w:val="1"/>
          <w:bCs w:val="1"/>
          <w:i w:val="1"/>
          <w:iCs w:val="1"/>
          <w:color w:val="231F20"/>
        </w:rPr>
        <w:t>If we or our licensors do not obtain patent term extension and data exclusivity for any product candidates we or our licensors may develop, our business may be materially harmed.</w:t>
      </w:r>
    </w:p>
    <w:p>
      <w:pPr>
        <w:spacing w:after="0" w:line="22" w:lineRule="exact"/>
        <w:rPr>
          <w:sz w:val="20"/>
          <w:szCs w:val="20"/>
          <w:color w:val="auto"/>
        </w:rPr>
      </w:pPr>
    </w:p>
    <w:p>
      <w:pPr>
        <w:ind w:right="80" w:firstLine="490"/>
        <w:spacing w:after="0" w:line="242" w:lineRule="auto"/>
        <w:rPr>
          <w:sz w:val="20"/>
          <w:szCs w:val="20"/>
          <w:color w:val="auto"/>
        </w:rPr>
      </w:pPr>
      <w:r>
        <w:rPr>
          <w:rFonts w:ascii="Arial" w:cs="Arial" w:eastAsia="Arial" w:hAnsi="Arial"/>
          <w:sz w:val="20"/>
          <w:szCs w:val="20"/>
          <w:color w:val="231F20"/>
        </w:rPr>
        <w:t>Given the amount of time required for the development, testing, and regulatory review of new product candidates, patents we license or may own in the future protecting such candidates might expire before or shortly after such candidates are commercialized. As a result, our intellectual property may not provide us with sufficient rights to exclude others from commercializing products similar or identical to our product candidates. Depending upon the timing, duration, and specifics of any FDA approval of any of our product candidates, one or more of our in-licensed U.S. patents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patent term extension is less than we request, our competitors may obtain approval of competing products following our patent expiration, and our business, financial condition, results of operations and growth prospects could be materially harmed.</w:t>
      </w:r>
    </w:p>
    <w:p>
      <w:pPr>
        <w:sectPr>
          <w:pgSz w:w="11880" w:h="15480" w:orient="portrait"/>
          <w:cols w:equalWidth="0" w:num="1">
            <w:col w:w="10800"/>
          </w:cols>
          <w:pgMar w:left="540" w:top="75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800"/>
          </w:cols>
          <w:pgMar w:left="540" w:top="754" w:right="540" w:bottom="0" w:gutter="0" w:footer="0" w:header="0"/>
          <w:type w:val="continuous"/>
        </w:sectPr>
      </w:pPr>
    </w:p>
    <w:bookmarkStart w:id="51" w:name="page52"/>
    <w:bookmarkEnd w:id="51"/>
    <w:p>
      <w:pPr>
        <w:ind w:right="480"/>
        <w:spacing w:after="0" w:line="264" w:lineRule="auto"/>
        <w:rPr>
          <w:sz w:val="20"/>
          <w:szCs w:val="20"/>
          <w:color w:val="auto"/>
        </w:rPr>
      </w:pPr>
      <w:r>
        <w:rPr>
          <w:rFonts w:ascii="Arial" w:cs="Arial" w:eastAsia="Arial" w:hAnsi="Arial"/>
          <w:sz w:val="20"/>
          <w:szCs w:val="20"/>
          <w:b w:val="1"/>
          <w:bCs w:val="1"/>
          <w:i w:val="1"/>
          <w:iCs w:val="1"/>
          <w:color w:val="231F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47" w:lineRule="exact"/>
        <w:rPr>
          <w:sz w:val="20"/>
          <w:szCs w:val="20"/>
          <w:color w:val="auto"/>
        </w:rPr>
      </w:pPr>
    </w:p>
    <w:p>
      <w:pPr>
        <w:ind w:right="180" w:firstLine="490"/>
        <w:spacing w:after="0" w:line="243" w:lineRule="auto"/>
        <w:rPr>
          <w:sz w:val="20"/>
          <w:szCs w:val="20"/>
          <w:color w:val="auto"/>
        </w:rPr>
      </w:pPr>
      <w:r>
        <w:rPr>
          <w:rFonts w:ascii="Arial" w:cs="Arial" w:eastAsia="Arial" w:hAnsi="Arial"/>
          <w:sz w:val="20"/>
          <w:szCs w:val="20"/>
          <w:color w:val="231F20"/>
        </w:rPr>
        <w:t>Periodic maintenance fees, renewal fees, annuity fees and various other government fees on patents and patent applications will be due to be paid to the USPTO and various government patent agencies outside of the U.S. over the lifetime of our owned or in-licensed patents and patent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may not be able to protect our intellectual property rights throughout the world.</w:t>
      </w:r>
    </w:p>
    <w:p>
      <w:pPr>
        <w:spacing w:after="0" w:line="116"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231F20"/>
        </w:rPr>
        <w:t>Filing, prosecuting, enforcing and defending patents on product candidates in all countries throughout the world would be prohibitively expensive, and our intellectual property rights in some countries outside the U.S. could be less extensive than those in the U.S. In some cases, we or our licensors may not be able to obtain patent protection for certain licensed technology outside the U.S. In addition, the laws of some foreign countries do not protect intellectual property rights to the same extent as federal and state laws in the U.S., even in jurisdictions where we or our licensors do pursue patent protection. Consequently, we may not be able to prevent third parties from practicing our in-licensed inventions in all countries outside the U.S., even in jurisdictions where our licensors do pursue patent protection or from selling or importing products made using our inventions in and into the U.S. or other jurisdictions.</w:t>
      </w:r>
    </w:p>
    <w:p>
      <w:pPr>
        <w:spacing w:after="0" w:line="74"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In addition,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98" w:lineRule="exact"/>
        <w:rPr>
          <w:sz w:val="20"/>
          <w:szCs w:val="20"/>
          <w:color w:val="auto"/>
        </w:rPr>
      </w:pPr>
    </w:p>
    <w:p>
      <w:pPr>
        <w:ind w:right="140" w:firstLine="490"/>
        <w:spacing w:after="0" w:line="250" w:lineRule="auto"/>
        <w:rPr>
          <w:sz w:val="20"/>
          <w:szCs w:val="20"/>
          <w:color w:val="auto"/>
        </w:rPr>
      </w:pPr>
      <w:r>
        <w:rPr>
          <w:rFonts w:ascii="Arial" w:cs="Arial" w:eastAsia="Arial" w:hAnsi="Arial"/>
          <w:sz w:val="20"/>
          <w:szCs w:val="20"/>
          <w:color w:val="231F20"/>
        </w:rPr>
        <w:t>Competitors may use our technologies in jurisdictions where we or our licensors have not pursued and obtained patent protection to develop their own products and, further, may export otherwise infringing products to territories where we have patent protection, but enforcement is not as strong as that in the U.S. These products may compete with our product candidates and our preclinical programs. Our in-licensed patents or other intellectual property rights may not be effective or sufficient to prevent them from competing.</w:t>
      </w:r>
    </w:p>
    <w:p>
      <w:pPr>
        <w:spacing w:after="0" w:line="192"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in-licensed intellectual property rights, if pursued and obtained, or the marketing of competing products in violation of our proprietary rights generally. Proceedings to enforce our patent rights in foreign jurisdictions could result in substantial costs and divert our efforts and attention from other aspects of our business, could put our owned or in-licensed patents at risk of being invalidated or interpreted narrowly and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ectPr>
          <w:pgSz w:w="11880" w:h="15480" w:orient="portrait"/>
          <w:cols w:equalWidth="0" w:num="1">
            <w:col w:w="10780"/>
          </w:cols>
          <w:pgMar w:left="540" w:top="75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780"/>
          </w:cols>
          <w:pgMar w:left="540" w:top="754" w:right="560" w:bottom="0" w:gutter="0" w:footer="0" w:header="0"/>
          <w:type w:val="continuous"/>
        </w:sectPr>
      </w:pPr>
    </w:p>
    <w:bookmarkStart w:id="52" w:name="page53"/>
    <w:bookmarkEnd w:id="52"/>
    <w:p>
      <w:pPr>
        <w:ind w:right="40" w:firstLine="490"/>
        <w:spacing w:after="0" w:line="248" w:lineRule="auto"/>
        <w:rPr>
          <w:sz w:val="20"/>
          <w:szCs w:val="20"/>
          <w:color w:val="auto"/>
        </w:rPr>
      </w:pPr>
      <w:r>
        <w:rPr>
          <w:rFonts w:ascii="Arial" w:cs="Arial" w:eastAsia="Arial" w:hAnsi="Arial"/>
          <w:sz w:val="20"/>
          <w:szCs w:val="20"/>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growth prospects may be adversely affected.</w:t>
      </w:r>
    </w:p>
    <w:p>
      <w:pPr>
        <w:spacing w:after="0" w:line="194"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Further, on June 1, 2023, the European Union Patent Package (“EU Patent Package”) regulations were implemented with the goal of providing a single pan-European Unitary Patent and a new European Unified Patent Court (“UPC”) for litigation involving European patents.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 applications and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results of operations and growth prospects.</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Risks Related to Regulatory Approval of Our Product Candidates and Other Legal Compliance Matters</w:t>
      </w:r>
    </w:p>
    <w:p>
      <w:pPr>
        <w:spacing w:after="0" w:line="128" w:lineRule="exact"/>
        <w:rPr>
          <w:sz w:val="20"/>
          <w:szCs w:val="20"/>
          <w:color w:val="auto"/>
        </w:rPr>
      </w:pPr>
    </w:p>
    <w:p>
      <w:pPr>
        <w:ind w:right="180"/>
        <w:spacing w:after="0" w:line="289" w:lineRule="auto"/>
        <w:rPr>
          <w:sz w:val="20"/>
          <w:szCs w:val="20"/>
          <w:color w:val="auto"/>
        </w:rPr>
      </w:pPr>
      <w:r>
        <w:rPr>
          <w:rFonts w:ascii="Arial" w:cs="Arial" w:eastAsia="Arial" w:hAnsi="Arial"/>
          <w:sz w:val="20"/>
          <w:szCs w:val="20"/>
          <w:b w:val="1"/>
          <w:bCs w:val="1"/>
          <w:i w:val="1"/>
          <w:iCs w:val="1"/>
          <w:color w:val="231F20"/>
        </w:rPr>
        <w:t>If we are not able to obtain, or if there are delays in obtaining, required regulatory approvals, we will not be able to commercialize our product candidates, and our ability to generate revenue will be materially impaired.</w:t>
      </w:r>
    </w:p>
    <w:p>
      <w:pPr>
        <w:spacing w:after="0" w:line="22" w:lineRule="exact"/>
        <w:rPr>
          <w:sz w:val="20"/>
          <w:szCs w:val="20"/>
          <w:color w:val="auto"/>
        </w:rPr>
      </w:pPr>
    </w:p>
    <w:p>
      <w:pPr>
        <w:ind w:right="140" w:firstLine="490"/>
        <w:spacing w:after="0" w:line="245" w:lineRule="auto"/>
        <w:rPr>
          <w:sz w:val="20"/>
          <w:szCs w:val="20"/>
          <w:color w:val="auto"/>
        </w:rPr>
      </w:pPr>
      <w:r>
        <w:rPr>
          <w:rFonts w:ascii="Arial" w:cs="Arial" w:eastAsia="Arial" w:hAnsi="Arial"/>
          <w:sz w:val="20"/>
          <w:szCs w:val="20"/>
          <w:color w:val="231F20"/>
        </w:rPr>
        <w:t>Our product candidates and the activities associated with their development and commercialization, including their design, testing, manufacture, safety, efficacy, record-keeping, labeling, storage, approval, advertising, promotion, sale, import, export and distribution, are subject to comprehensive regulation by the FDA and other regulatory agencies in the U.S. and by comparable foreign regulatory authorities, with regulations differing from country to country. Failure to obtain regulatory approval for a product candidate will prevent us from commercializing the product candidate. We currently do not have any products approved for sale in any jurisdiction. For example, we are not permitted to market any product candidate in the U.S. until we receive regulatory approval of an NDA from the FDA. We as a company only have limited experience in filing and supporting the applications necessary to gain regulatory approvals and may rely on third-party contract research organizations to assist us in this process.</w:t>
      </w:r>
    </w:p>
    <w:p>
      <w:pPr>
        <w:spacing w:after="0" w:line="197" w:lineRule="exact"/>
        <w:rPr>
          <w:sz w:val="20"/>
          <w:szCs w:val="20"/>
          <w:color w:val="auto"/>
        </w:rPr>
      </w:pPr>
    </w:p>
    <w:p>
      <w:pPr>
        <w:ind w:firstLine="490"/>
        <w:spacing w:after="0" w:line="264" w:lineRule="auto"/>
        <w:rPr>
          <w:sz w:val="20"/>
          <w:szCs w:val="20"/>
          <w:color w:val="auto"/>
        </w:rPr>
      </w:pPr>
      <w:r>
        <w:rPr>
          <w:rFonts w:ascii="Arial" w:cs="Arial" w:eastAsia="Arial" w:hAnsi="Arial"/>
          <w:sz w:val="19"/>
          <w:szCs w:val="19"/>
          <w:color w:val="231F20"/>
        </w:rPr>
        <w:t>Approval policies, regulations, or the type and amount of clinical data necessary to gain approval may change during the course of a product candidate’s clinical development. For instance, changes to leadership and the reorganization and rededication of critical resources at the FDA and within similar governmental health authorities across the world, may impact the ability of new products and services from being developed or commercialized in a timely manner. Regulations and requirements vary among jurisdictions, including in Japan and Europe. We have not obtained regulatory approval for any product candidate, and it is possible that our product candidates will never obtain regulatory approval.</w:t>
      </w:r>
    </w:p>
    <w:p>
      <w:pPr>
        <w:spacing w:after="0" w:line="178" w:lineRule="exact"/>
        <w:rPr>
          <w:sz w:val="20"/>
          <w:szCs w:val="20"/>
          <w:color w:val="auto"/>
        </w:rPr>
      </w:pPr>
    </w:p>
    <w:p>
      <w:pPr>
        <w:ind w:right="140" w:firstLine="490"/>
        <w:spacing w:after="0" w:line="246" w:lineRule="auto"/>
        <w:rPr>
          <w:sz w:val="20"/>
          <w:szCs w:val="20"/>
          <w:color w:val="auto"/>
        </w:rPr>
      </w:pPr>
      <w:r>
        <w:rPr>
          <w:rFonts w:ascii="Arial" w:cs="Arial" w:eastAsia="Arial" w:hAnsi="Arial"/>
          <w:sz w:val="20"/>
          <w:szCs w:val="20"/>
          <w:color w:val="231F20"/>
        </w:rPr>
        <w:t>We have not sought or obtained regulatory approval for any product candidate, and it is possible that any product candidates we may seek to develop will never obtain regulatory approval. In order to obtain approval to commercialize a product candidate in the U.S. or abroad, we or our collaborators must demonstrate to the satisfaction of the FDA or foreign regulatory agencies, that such product candidates are safe and effective for their intended uses. Results from nonclinical studies and clinical trials can be interpreted in different ways. Even if we believe that the nonclinical or clinical data for a product candidate is promising, such data may not be sufficient to support approval by the FDA and other regulatory authorities. The FDA may also require us to conduct additional nonclinical studies or clinical trials for product candidates either prior to or post-approval, and it may otherwise object to elements of our clinical development program.</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780"/>
          </w:cols>
          <w:pgMar w:left="540" w:top="750" w:right="560" w:bottom="0" w:gutter="0" w:footer="0" w:header="0"/>
          <w:type w:val="continuous"/>
        </w:sectPr>
      </w:pPr>
    </w:p>
    <w:bookmarkStart w:id="53" w:name="page54"/>
    <w:bookmarkEnd w:id="53"/>
    <w:p>
      <w:pPr>
        <w:ind w:firstLine="490"/>
        <w:spacing w:after="0" w:line="282" w:lineRule="auto"/>
        <w:rPr>
          <w:sz w:val="20"/>
          <w:szCs w:val="20"/>
          <w:color w:val="auto"/>
        </w:rPr>
      </w:pPr>
      <w:r>
        <w:rPr>
          <w:rFonts w:ascii="Arial" w:cs="Arial" w:eastAsia="Arial" w:hAnsi="Arial"/>
          <w:sz w:val="20"/>
          <w:szCs w:val="20"/>
          <w:color w:val="231F20"/>
        </w:rPr>
        <w:t>The FDA or any foreign regulatory bodies can delay, limit or deny approval of our product candidates or require us to conduct additional nonclinical or clinical testing or abandon a program for many reasons, including:</w:t>
      </w:r>
    </w:p>
    <w:p>
      <w:pPr>
        <w:spacing w:after="0" w:line="53" w:lineRule="exact"/>
        <w:rPr>
          <w:sz w:val="20"/>
          <w:szCs w:val="20"/>
          <w:color w:val="auto"/>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disagreement with the design, endpoint selection, or implementation of our clinical trials;</w:t>
      </w:r>
    </w:p>
    <w:p>
      <w:pPr>
        <w:spacing w:after="0" w:line="133" w:lineRule="exact"/>
        <w:rPr>
          <w:rFonts w:ascii="Arial" w:cs="Arial" w:eastAsia="Arial" w:hAnsi="Arial"/>
          <w:sz w:val="20"/>
          <w:szCs w:val="20"/>
          <w:color w:val="231F20"/>
        </w:rPr>
      </w:pPr>
    </w:p>
    <w:p>
      <w:pPr>
        <w:ind w:left="980" w:right="780" w:hanging="490"/>
        <w:spacing w:after="0" w:line="282" w:lineRule="auto"/>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negative or ambiguous results from our clinical trials or results that may not meet the level of statistical significance required by the FDA or comparable foreign regulatory agencies for approval;</w:t>
      </w:r>
    </w:p>
    <w:p>
      <w:pPr>
        <w:spacing w:after="0" w:line="53" w:lineRule="exact"/>
        <w:rPr>
          <w:rFonts w:ascii="Arial" w:cs="Arial" w:eastAsia="Arial" w:hAnsi="Arial"/>
          <w:sz w:val="20"/>
          <w:szCs w:val="20"/>
          <w:color w:val="231F20"/>
        </w:rPr>
      </w:pPr>
    </w:p>
    <w:p>
      <w:pPr>
        <w:ind w:left="980" w:right="820" w:hanging="490"/>
        <w:spacing w:after="0" w:line="282" w:lineRule="auto"/>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serious and unexpected drug-related side effects experienced by participants in our clinical trials or by individuals using drugs similar to our product candidates;</w:t>
      </w:r>
    </w:p>
    <w:p>
      <w:pPr>
        <w:spacing w:after="0" w:line="53" w:lineRule="exact"/>
        <w:rPr>
          <w:rFonts w:ascii="Arial" w:cs="Arial" w:eastAsia="Arial" w:hAnsi="Arial"/>
          <w:sz w:val="20"/>
          <w:szCs w:val="20"/>
          <w:color w:val="231F20"/>
        </w:rPr>
      </w:pPr>
    </w:p>
    <w:p>
      <w:pPr>
        <w:ind w:left="980" w:right="20" w:hanging="490"/>
        <w:spacing w:after="0" w:line="282" w:lineRule="auto"/>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the population studied may not be sufficiently broad or representative to assure safety in the full populations for which we seek approval;</w:t>
      </w:r>
    </w:p>
    <w:p>
      <w:pPr>
        <w:spacing w:after="0" w:line="53" w:lineRule="exact"/>
        <w:rPr>
          <w:rFonts w:ascii="Arial" w:cs="Arial" w:eastAsia="Arial" w:hAnsi="Arial"/>
          <w:sz w:val="20"/>
          <w:szCs w:val="20"/>
          <w:color w:val="231F20"/>
        </w:rPr>
      </w:pPr>
    </w:p>
    <w:p>
      <w:pPr>
        <w:ind w:left="980" w:right="440" w:hanging="490"/>
        <w:spacing w:after="0" w:line="282" w:lineRule="auto"/>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our inability to demonstrate to the satisfaction of the FDA or the applicable foreign regulatory body that our product candidates are safe and effective for the proposed indication;</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disagreement with the interpretation of data from nonclinical studies or clinical trials;</w:t>
      </w:r>
    </w:p>
    <w:p>
      <w:pPr>
        <w:spacing w:after="0" w:line="133" w:lineRule="exact"/>
        <w:rPr>
          <w:rFonts w:ascii="Arial" w:cs="Arial" w:eastAsia="Arial" w:hAnsi="Arial"/>
          <w:sz w:val="20"/>
          <w:szCs w:val="20"/>
          <w:color w:val="231F20"/>
        </w:rPr>
      </w:pPr>
    </w:p>
    <w:p>
      <w:pPr>
        <w:ind w:left="980" w:right="400" w:hanging="490"/>
        <w:spacing w:after="0" w:line="282" w:lineRule="auto"/>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our inability to demonstrate the clinical and other benefits of our product candidates outweigh any safety or other perceived risks;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requirements for additional nonclinical studies or clinical trials;</w:t>
      </w:r>
    </w:p>
    <w:p>
      <w:pPr>
        <w:spacing w:after="0" w:line="133" w:lineRule="exact"/>
        <w:rPr>
          <w:rFonts w:ascii="Arial" w:cs="Arial" w:eastAsia="Arial" w:hAnsi="Arial"/>
          <w:sz w:val="20"/>
          <w:szCs w:val="20"/>
          <w:color w:val="231F20"/>
        </w:rPr>
      </w:pPr>
    </w:p>
    <w:p>
      <w:pPr>
        <w:ind w:left="980" w:right="820" w:hanging="490"/>
        <w:spacing w:after="0" w:line="282" w:lineRule="auto"/>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disagreement regarding the formulation, labeling, and/or the specifications we propose for our product candidates;</w:t>
      </w:r>
    </w:p>
    <w:p>
      <w:pPr>
        <w:spacing w:after="0" w:line="53" w:lineRule="exact"/>
        <w:rPr>
          <w:rFonts w:ascii="Arial" w:cs="Arial" w:eastAsia="Arial" w:hAnsi="Arial"/>
          <w:sz w:val="20"/>
          <w:szCs w:val="20"/>
          <w:color w:val="231F20"/>
        </w:rPr>
      </w:pPr>
    </w:p>
    <w:p>
      <w:pPr>
        <w:ind w:left="980" w:right="80" w:hanging="490"/>
        <w:spacing w:after="0" w:line="282" w:lineRule="auto"/>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approval may be granted only for indications that are significantly more limited than those sought by us, and/or may include significant restrictions on distribution and use;</w:t>
      </w:r>
    </w:p>
    <w:p>
      <w:pPr>
        <w:spacing w:after="0" w:line="53" w:lineRule="exact"/>
        <w:rPr>
          <w:rFonts w:ascii="Arial" w:cs="Arial" w:eastAsia="Arial" w:hAnsi="Arial"/>
          <w:sz w:val="20"/>
          <w:szCs w:val="20"/>
          <w:color w:val="231F20"/>
        </w:rPr>
      </w:pPr>
    </w:p>
    <w:p>
      <w:pPr>
        <w:ind w:left="980" w:right="40" w:hanging="490"/>
        <w:spacing w:after="0" w:line="282" w:lineRule="auto"/>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deficiencies in the manufacturing processes or facilities of the third-party manufacturers with which we contract for clinical and commercial supplies;</w:t>
      </w:r>
    </w:p>
    <w:p>
      <w:pPr>
        <w:spacing w:after="0" w:line="53" w:lineRule="exact"/>
        <w:rPr>
          <w:rFonts w:ascii="Arial" w:cs="Arial" w:eastAsia="Arial" w:hAnsi="Arial"/>
          <w:sz w:val="20"/>
          <w:szCs w:val="20"/>
          <w:color w:val="231F20"/>
        </w:rPr>
      </w:pPr>
    </w:p>
    <w:p>
      <w:pPr>
        <w:ind w:left="980" w:right="380" w:hanging="490"/>
        <w:spacing w:after="0" w:line="282" w:lineRule="auto"/>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refusals by regulators to accept a submission due to, among other reasons, the content or formatting of the submission; or</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changes in policies, requirements, or regulations rendering our clinical data insufficient for approval.</w:t>
      </w:r>
    </w:p>
    <w:p>
      <w:pPr>
        <w:spacing w:after="0" w:line="240" w:lineRule="exact"/>
        <w:rPr>
          <w:sz w:val="20"/>
          <w:szCs w:val="20"/>
          <w:color w:val="auto"/>
        </w:rPr>
      </w:pPr>
    </w:p>
    <w:p>
      <w:pPr>
        <w:ind w:right="340" w:firstLine="490"/>
        <w:spacing w:after="0" w:line="254" w:lineRule="auto"/>
        <w:rPr>
          <w:sz w:val="20"/>
          <w:szCs w:val="20"/>
          <w:color w:val="auto"/>
        </w:rPr>
      </w:pPr>
      <w:r>
        <w:rPr>
          <w:rFonts w:ascii="Arial" w:cs="Arial" w:eastAsia="Arial" w:hAnsi="Arial"/>
          <w:sz w:val="20"/>
          <w:szCs w:val="20"/>
          <w:color w:val="231F20"/>
        </w:rPr>
        <w:t>Of the large number of drugs in development, only a small percentage complete the FDA or foreign regulatory approval processes and are successfully commercialized. The lengthy review process as well as the unpredictability of future clinical trial results may result in our failing to obtain regulatory approval, which would significantly harm our business, financial condition, results of operations and growth prospects.</w:t>
      </w:r>
    </w:p>
    <w:p>
      <w:pPr>
        <w:spacing w:after="0" w:line="186" w:lineRule="exact"/>
        <w:rPr>
          <w:sz w:val="20"/>
          <w:szCs w:val="20"/>
          <w:color w:val="auto"/>
        </w:rPr>
      </w:pPr>
    </w:p>
    <w:p>
      <w:pPr>
        <w:ind w:right="140" w:firstLine="490"/>
        <w:spacing w:after="0" w:line="245" w:lineRule="auto"/>
        <w:rPr>
          <w:sz w:val="20"/>
          <w:szCs w:val="20"/>
          <w:color w:val="auto"/>
        </w:rPr>
      </w:pPr>
      <w:r>
        <w:rPr>
          <w:rFonts w:ascii="Arial" w:cs="Arial" w:eastAsia="Arial" w:hAnsi="Arial"/>
          <w:sz w:val="20"/>
          <w:szCs w:val="20"/>
          <w:color w:val="231F20"/>
        </w:rPr>
        <w:t>Even if we eventually receive approval of an NDA or foreign marketing application for our product candidates, the FDA, or the applicable foreign regulatory agency may grant approval contingent on the performance of costly additional clinical trials, often referred to as Phase 4 clinical trials, and the FDA may require the implementation of a REMS, which may be required to ensure safe use of the drug after approval. The FDA or the applicable foreign regulatory agency also may approve a product candidate for a more limited indication or patient population than we originally requested, and the FDA or applicable foreign regulatory agency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800"/>
          </w:cols>
          <w:pgMar w:left="540" w:top="750" w:right="540" w:bottom="0" w:gutter="0" w:footer="0" w:header="0"/>
          <w:type w:val="continuous"/>
        </w:sectPr>
      </w:pPr>
    </w:p>
    <w:bookmarkStart w:id="54" w:name="page55"/>
    <w:bookmarkEnd w:id="54"/>
    <w:p>
      <w:pPr>
        <w:ind w:right="460"/>
        <w:spacing w:after="0" w:line="256" w:lineRule="auto"/>
        <w:rPr>
          <w:sz w:val="20"/>
          <w:szCs w:val="20"/>
          <w:color w:val="auto"/>
        </w:rPr>
      </w:pPr>
      <w:r>
        <w:rPr>
          <w:rFonts w:ascii="Arial" w:cs="Arial" w:eastAsia="Arial" w:hAnsi="Arial"/>
          <w:sz w:val="20"/>
          <w:szCs w:val="20"/>
          <w:b w:val="1"/>
          <w:bCs w:val="1"/>
          <w:i w:val="1"/>
          <w:iCs w:val="1"/>
          <w:color w:val="231F20"/>
        </w:rPr>
        <w:t>Disruptions at the FDA and other government agencies caused by funding shortages, staffing limitations, or global health concerns could hinder their ability to hire, retain or deploy key leadership and other personnel, prevent new or modified products from being developed, reviewed, approved or commercialized in a timely manner or at all, which could negatively impact our business.</w:t>
      </w:r>
    </w:p>
    <w:p>
      <w:pPr>
        <w:spacing w:after="0" w:line="55" w:lineRule="exact"/>
        <w:rPr>
          <w:sz w:val="20"/>
          <w:szCs w:val="20"/>
          <w:color w:val="auto"/>
        </w:rPr>
      </w:pPr>
    </w:p>
    <w:p>
      <w:pPr>
        <w:ind w:right="40" w:firstLine="490"/>
        <w:spacing w:after="0" w:line="257" w:lineRule="auto"/>
        <w:rPr>
          <w:sz w:val="20"/>
          <w:szCs w:val="20"/>
          <w:color w:val="auto"/>
        </w:rPr>
      </w:pPr>
      <w:r>
        <w:rPr>
          <w:rFonts w:ascii="Arial" w:cs="Arial" w:eastAsia="Arial" w:hAnsi="Arial"/>
          <w:sz w:val="19"/>
          <w:szCs w:val="19"/>
          <w:color w:val="231F20"/>
        </w:rPr>
        <w:t>The ability of the FDA and foreign regulatory authorities to review and approve new products can be affected by a variety of factors, including the transition to a new administration,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certain Executive Orders directed towards reducing the employee headcount and costs associated with U.S. administrative agencies, including the FDA, and it remains unclear the degree to which these efforts may limit or otherwise adversely affect the FDA’s ability to conduct routine operations.</w:t>
      </w:r>
    </w:p>
    <w:p>
      <w:pPr>
        <w:spacing w:after="0" w:line="185" w:lineRule="exact"/>
        <w:rPr>
          <w:sz w:val="20"/>
          <w:szCs w:val="20"/>
          <w:color w:val="auto"/>
        </w:rPr>
      </w:pPr>
    </w:p>
    <w:p>
      <w:pPr>
        <w:ind w:right="120" w:firstLine="490"/>
        <w:spacing w:after="0" w:line="248" w:lineRule="auto"/>
        <w:rPr>
          <w:sz w:val="20"/>
          <w:szCs w:val="20"/>
          <w:color w:val="auto"/>
        </w:rPr>
      </w:pPr>
      <w:r>
        <w:rPr>
          <w:rFonts w:ascii="Arial" w:cs="Arial" w:eastAsia="Arial" w:hAnsi="Arial"/>
          <w:sz w:val="20"/>
          <w:szCs w:val="20"/>
          <w:color w:val="231F20"/>
        </w:rPr>
        <w:t>Separately, in response to the COVID-19 pandemic, the FDA postponed most inspections at domestic and foreign manufacturing facilities at various points. 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18" w:lineRule="exact"/>
        <w:rPr>
          <w:sz w:val="20"/>
          <w:szCs w:val="20"/>
          <w:color w:val="auto"/>
        </w:rPr>
      </w:pPr>
    </w:p>
    <w:p>
      <w:pPr>
        <w:ind w:right="200"/>
        <w:spacing w:after="0" w:line="264" w:lineRule="auto"/>
        <w:rPr>
          <w:sz w:val="20"/>
          <w:szCs w:val="20"/>
          <w:color w:val="auto"/>
        </w:rPr>
      </w:pPr>
      <w:r>
        <w:rPr>
          <w:rFonts w:ascii="Arial" w:cs="Arial" w:eastAsia="Arial" w:hAnsi="Arial"/>
          <w:sz w:val="20"/>
          <w:szCs w:val="20"/>
          <w:b w:val="1"/>
          <w:bCs w:val="1"/>
          <w:i w:val="1"/>
          <w:iCs w:val="1"/>
          <w:color w:val="231F20"/>
        </w:rPr>
        <w:t>We may not be able to obtain or maintain orphan drug designations for any product candidates, and we may be unable to take advantage of the benefits associated with orphan drug designation, including the potential for market exclusivity.</w:t>
      </w:r>
    </w:p>
    <w:p>
      <w:pPr>
        <w:spacing w:after="0" w:line="47"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231F20"/>
        </w:rPr>
        <w:t>Regulatory authorities in some jurisdictions, including the U.S., may designate drugs for relatively small patient populations as orphan drugs. Under the Orphan Drug Act of 1983, the FDA may designate a product as an orphan product if it is intended to treat a rare disease or condition, which is generally defined as a diagnosed patient population of fewer than 200,000 individuals in the U.S., or a patient population of greater than 200,000 individuals in the U.S., but for which there is no reasonable expectation that the cost of developing the drug will be recovered from sales in the U.S. Similar laws exist in Europe and Japan. The European Commission may grant a product orphan medicinal product designation if the product is intended for the treatment, prevention or diagnosis of a life-threatening or very serious condition, with a prevalence in the European Union of not more than five in 10,000 people, and where either no satisfactory method of diagnosis, prevention or treatment of the condition in question exists, or if such method exists that the medicinal product will be of significant benefit to those affected by that condition.</w:t>
      </w:r>
    </w:p>
    <w:p>
      <w:pPr>
        <w:spacing w:after="0" w:line="202"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231F20"/>
        </w:rPr>
        <w:t>As part of our business strategy, we intend to seek orphan drug designation, where applicable, from the FDA and orphan medicinal product designation from the European Commission; however, we may not be able to obtain or maintain this status for our product candidates. There can be no assurance that any regulatory authority will grant any orphan drug designations.</w:t>
      </w:r>
    </w:p>
    <w:p>
      <w:pPr>
        <w:spacing w:after="0" w:line="186"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231F20"/>
        </w:rPr>
        <w:t>In the U.S., orphan designation entitles a party to financial incentives such as opportunities for grant funding towards clinical trial costs, tax advantages, and user-fee waivers. In addition, if a product candidate that has orphan drug designation subsequently receives the first FDA approval for the rare disease or condition for which it has such designation, it is entitled to orphan drug exclusivity, which means that the FDA may not approve any other applications, including an NDA, to market the same drug for the same approved use or indication within the relevant rare disease or condition for seven years, except in limited circumstances, such as a showing of clinical superiority to the product with orphan drug exclusivity within the relevant approved use or indication or where the manufacturer is unable to assure sufficient product quantity.</w:t>
      </w:r>
    </w:p>
    <w:p>
      <w:pPr>
        <w:sectPr>
          <w:pgSz w:w="11880" w:h="15480" w:orient="portrait"/>
          <w:cols w:equalWidth="0" w:num="1">
            <w:col w:w="10780"/>
          </w:cols>
          <w:pgMar w:left="540" w:top="75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780"/>
          </w:cols>
          <w:pgMar w:left="540" w:top="754" w:right="560" w:bottom="0" w:gutter="0" w:footer="0" w:header="0"/>
          <w:type w:val="continuous"/>
        </w:sectPr>
      </w:pPr>
    </w:p>
    <w:bookmarkStart w:id="55" w:name="page56"/>
    <w:bookmarkEnd w:id="55"/>
    <w:p>
      <w:pPr>
        <w:ind w:right="120" w:firstLine="490"/>
        <w:spacing w:after="0" w:line="248" w:lineRule="auto"/>
        <w:rPr>
          <w:sz w:val="20"/>
          <w:szCs w:val="20"/>
          <w:color w:val="auto"/>
        </w:rPr>
      </w:pPr>
      <w:r>
        <w:rPr>
          <w:rFonts w:ascii="Arial" w:cs="Arial" w:eastAsia="Arial" w:hAnsi="Arial"/>
          <w:sz w:val="20"/>
          <w:szCs w:val="20"/>
          <w:color w:val="231F20"/>
        </w:rPr>
        <w:t>More than one product may be approved by the FDA for the same use or indication within the orphan disease or condition, as long as the products are different drugs, as determined by the FDA. As a result, if any of our product candidates is approved by the FDA and receives orphan drug exclusivity, absent other applicable exclusivities, the FDA can still approve other drugs for use in treating the same indication or use within the applicable rare disease or condition, which could create a more competitive market for us. The failure to successfully obtain orphan drug exclusivity would adversely affect our business.</w:t>
      </w:r>
    </w:p>
    <w:p>
      <w:pPr>
        <w:spacing w:after="0" w:line="194"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231F20"/>
        </w:rPr>
        <w:t>Even if we obtain orphan drug exclusivity for a product, that exclusivity may not effectively protect the product from competition because different drugs can be approved for the same use or indication within the same rare disease or condition. Even after an orphan drug is approved, the FDA or comparable foreign regulatory authority can subsequently approve the same drug for the same use or indication within the relevant rare disease or condition if such regulatory authority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317"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b w:val="1"/>
          <w:bCs w:val="1"/>
          <w:i w:val="1"/>
          <w:iCs w:val="1"/>
          <w:color w:val="231F20"/>
        </w:rPr>
        <w:t>We may attempt to seek accelerated approval in the U.S. for certain of our product candidates. If we are not able to use that pathway, we may be required to conduct additional clinical trials beyond those that are contemplated, which would increase the expense of obtaining, and delay the receipt of, necessary regulatory approvals, if we receive them at all. In addition, even if an accelerated approval pathway is available to us, it may not lead to expedited approval of our product candidates, or approval at all.</w:t>
      </w:r>
    </w:p>
    <w:p>
      <w:pPr>
        <w:spacing w:after="0" w:line="59"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231F20"/>
        </w:rPr>
        <w:t>Under the FDCA and implementing regulations, the FDA may grant accelerated approval to a product candidate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of a drug.</w:t>
      </w:r>
    </w:p>
    <w:p>
      <w:pPr>
        <w:spacing w:after="0" w:line="202" w:lineRule="exact"/>
        <w:rPr>
          <w:sz w:val="20"/>
          <w:szCs w:val="20"/>
          <w:color w:val="auto"/>
        </w:rPr>
      </w:pPr>
    </w:p>
    <w:p>
      <w:pPr>
        <w:ind w:right="340" w:firstLine="490"/>
        <w:spacing w:after="0" w:line="259" w:lineRule="auto"/>
        <w:rPr>
          <w:sz w:val="20"/>
          <w:szCs w:val="20"/>
          <w:color w:val="auto"/>
        </w:rPr>
      </w:pPr>
      <w:r>
        <w:rPr>
          <w:rFonts w:ascii="Arial" w:cs="Arial" w:eastAsia="Arial" w:hAnsi="Arial"/>
          <w:sz w:val="19"/>
          <w:szCs w:val="19"/>
          <w:color w:val="231F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the Food and Drug Omnibus Reform Act of 2022, provided the FDA additional statutory authority to mitigate potential risks to patients from continued marketing of ineffective drugs previously granted accelerated approval. Under these provisions, the FDA may require a sponsor of a product seeking accelerated approval to, among other things, have a confirmatory trial underway prior to such approval being granted.</w:t>
      </w:r>
    </w:p>
    <w:p>
      <w:pPr>
        <w:spacing w:after="0" w:line="188"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Prior to seeking accelerated approval for any of our product candidates we intend to seek feedback from the FDA or will otherwise evaluate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780"/>
          </w:cols>
          <w:pgMar w:left="540" w:top="750" w:right="560" w:bottom="0" w:gutter="0" w:footer="0" w:header="0"/>
          <w:type w:val="continuous"/>
        </w:sectPr>
      </w:pPr>
    </w:p>
    <w:bookmarkStart w:id="56" w:name="page57"/>
    <w:bookmarkEnd w:id="56"/>
    <w:p>
      <w:pPr>
        <w:ind w:right="300"/>
        <w:spacing w:after="0" w:line="264" w:lineRule="auto"/>
        <w:rPr>
          <w:sz w:val="20"/>
          <w:szCs w:val="20"/>
          <w:color w:val="auto"/>
        </w:rPr>
      </w:pPr>
      <w:r>
        <w:rPr>
          <w:rFonts w:ascii="Arial" w:cs="Arial" w:eastAsia="Arial" w:hAnsi="Arial"/>
          <w:sz w:val="20"/>
          <w:szCs w:val="20"/>
          <w:b w:val="1"/>
          <w:bCs w:val="1"/>
          <w:i w:val="1"/>
          <w:iCs w:val="1"/>
          <w:color w:val="231F20"/>
        </w:rPr>
        <w:t>Failure to obtain regulatory approval in foreign jurisdictions would prevent our product candidates from being marketed in these territories. Any approval we are granted for our product candidates in the U.S. would not assure approval of such product candidates in foreign jurisdictions.</w:t>
      </w:r>
    </w:p>
    <w:p>
      <w:pPr>
        <w:spacing w:after="0" w:line="47"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In order to market and sell our product candidates in Japan, the European Union, United Kingdom, other areas of Asia, Australia, and any other jurisdictions, we must obtain separate regulatory approvals and comply with numerous and varying regulatory requirements. The approval procedure varies among countries and can involve additional testing. The time required to obtain approval may differ substantially from that required to obtain approval from the FDA. The regulatory approval process outside the U.S. generally includes all of the risks associated with obtaining approval from the FDA. In addition, in many countries outside the U.S., it is required that the product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data from clinical studies approved by the FDA may not be accepted by foreign regulatory agencies, and approval by one regulatory authority outside the U.S. does not ensure approval by regulatory authorities in other countries or jurisdictions or by the FDA. However, failure to obtain approval in one jurisdiction may impact our ability to obtain approval elsewhere. We may not be able to file for marketing authorization and may not receive necessary approvals to commercialize our product candidates in any market.</w:t>
      </w:r>
    </w:p>
    <w:p>
      <w:pPr>
        <w:spacing w:after="0" w:line="327"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b w:val="1"/>
          <w:bCs w:val="1"/>
          <w:i w:val="1"/>
          <w:iCs w:val="1"/>
          <w:color w:val="231F20"/>
        </w:rPr>
        <w:t>Even if we obtain regulatory approvals for our product candidates, the terms of approvals and ongoing regulation of such product candidates may limit how we manufacture and market the product candidates and compliance with such requirements may involve substantial resources, which could materially impair our ability to generate revenue.</w:t>
      </w:r>
    </w:p>
    <w:p>
      <w:pPr>
        <w:spacing w:after="0" w:line="55"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231F20"/>
        </w:rPr>
        <w:t>Even if regulatory approval of any of our product candidates is granted, an approved product and its manufacturer and marketer are subject to ongoing review and extensive regulation, including with respect to the manufacturing processes, labeling, packaging, distribution, adverse event reporting, storage, advertising, promotion, import, export and recordkeeping for the product. These requirements include submissions of safety and other post-marketing information and reports, registration, as well as ongoing compliance with cGMPs and GCPs for any clinical trials, In addition, manufacturers of approved products and those manufacturers’ facilities are required to comply with extensive FDA requirements including ensuring that quality control and manufacturing procedures conform to cGMP,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w:t>
      </w:r>
    </w:p>
    <w:p>
      <w:pPr>
        <w:spacing w:after="0" w:line="202"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231F20"/>
        </w:rPr>
        <w:t>Accordingly, assuming we receive regulatory approval for one or more product candidates, we and our contract manufacturers will continue to expend time, money, and effort in all areas of regulatory compliance.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the FDA and other comparable foreign regulatory requirements may subject our company to administrative or judicially imposed sanctions, including:</w:t>
      </w:r>
    </w:p>
    <w:p>
      <w:pPr>
        <w:spacing w:after="0" w:line="87" w:lineRule="exact"/>
        <w:rPr>
          <w:sz w:val="20"/>
          <w:szCs w:val="20"/>
          <w:color w:val="auto"/>
        </w:rPr>
      </w:pPr>
    </w:p>
    <w:p>
      <w:pPr>
        <w:ind w:left="980" w:right="320" w:hanging="490"/>
        <w:spacing w:after="0" w:line="282" w:lineRule="auto"/>
        <w:tabs>
          <w:tab w:leader="none" w:pos="980" w:val="left"/>
        </w:tabs>
        <w:numPr>
          <w:ilvl w:val="0"/>
          <w:numId w:val="36"/>
        </w:numPr>
        <w:rPr>
          <w:rFonts w:ascii="Arial" w:cs="Arial" w:eastAsia="Arial" w:hAnsi="Arial"/>
          <w:sz w:val="20"/>
          <w:szCs w:val="20"/>
          <w:color w:val="231F20"/>
        </w:rPr>
      </w:pPr>
      <w:r>
        <w:rPr>
          <w:rFonts w:ascii="Arial" w:cs="Arial" w:eastAsia="Arial" w:hAnsi="Arial"/>
          <w:sz w:val="20"/>
          <w:szCs w:val="20"/>
          <w:color w:val="231F20"/>
        </w:rPr>
        <w:t>restrictions on the marketing or manufacturing of our products, withdrawal of the product from the market or voluntary or mandatory product recalls;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36"/>
        </w:numPr>
        <w:rPr>
          <w:rFonts w:ascii="Arial" w:cs="Arial" w:eastAsia="Arial" w:hAnsi="Arial"/>
          <w:sz w:val="20"/>
          <w:szCs w:val="20"/>
          <w:color w:val="231F20"/>
        </w:rPr>
      </w:pPr>
      <w:r>
        <w:rPr>
          <w:rFonts w:ascii="Arial" w:cs="Arial" w:eastAsia="Arial" w:hAnsi="Arial"/>
          <w:sz w:val="20"/>
          <w:szCs w:val="20"/>
          <w:color w:val="231F20"/>
        </w:rPr>
        <w:t>restrictions on product distribution or use, or requirements to conduct post-marketing studies or clinical trials;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6"/>
        </w:numPr>
        <w:rPr>
          <w:rFonts w:ascii="Arial" w:cs="Arial" w:eastAsia="Arial" w:hAnsi="Arial"/>
          <w:sz w:val="20"/>
          <w:szCs w:val="20"/>
          <w:color w:val="231F20"/>
        </w:rPr>
      </w:pPr>
      <w:r>
        <w:rPr>
          <w:rFonts w:ascii="Arial" w:cs="Arial" w:eastAsia="Arial" w:hAnsi="Arial"/>
          <w:sz w:val="20"/>
          <w:szCs w:val="20"/>
          <w:color w:val="231F20"/>
        </w:rPr>
        <w:t>fines, restitutions, disgorgement of profits or revenues, warning letters, untitled letters or holds on clinical trials;</w:t>
      </w:r>
    </w:p>
    <w:p>
      <w:pPr>
        <w:spacing w:after="0" w:line="133" w:lineRule="exact"/>
        <w:rPr>
          <w:rFonts w:ascii="Arial" w:cs="Arial" w:eastAsia="Arial" w:hAnsi="Arial"/>
          <w:sz w:val="20"/>
          <w:szCs w:val="20"/>
          <w:color w:val="231F20"/>
        </w:rPr>
      </w:pPr>
    </w:p>
    <w:p>
      <w:pPr>
        <w:ind w:left="980" w:right="400" w:hanging="490"/>
        <w:spacing w:after="0" w:line="282" w:lineRule="auto"/>
        <w:tabs>
          <w:tab w:leader="none" w:pos="980" w:val="left"/>
        </w:tabs>
        <w:numPr>
          <w:ilvl w:val="0"/>
          <w:numId w:val="36"/>
        </w:numPr>
        <w:rPr>
          <w:rFonts w:ascii="Arial" w:cs="Arial" w:eastAsia="Arial" w:hAnsi="Arial"/>
          <w:sz w:val="20"/>
          <w:szCs w:val="20"/>
          <w:color w:val="231F20"/>
        </w:rPr>
      </w:pPr>
      <w:r>
        <w:rPr>
          <w:rFonts w:ascii="Arial" w:cs="Arial" w:eastAsia="Arial" w:hAnsi="Arial"/>
          <w:sz w:val="20"/>
          <w:szCs w:val="20"/>
          <w:color w:val="231F20"/>
        </w:rPr>
        <w:t>refusal by the FDA to approve pending applications or supplements to approved applications submitted, or suspension or revocation of approvals;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36"/>
        </w:numPr>
        <w:rPr>
          <w:rFonts w:ascii="Arial" w:cs="Arial" w:eastAsia="Arial" w:hAnsi="Arial"/>
          <w:sz w:val="20"/>
          <w:szCs w:val="20"/>
          <w:color w:val="231F20"/>
        </w:rPr>
      </w:pPr>
      <w:r>
        <w:rPr>
          <w:rFonts w:ascii="Arial" w:cs="Arial" w:eastAsia="Arial" w:hAnsi="Arial"/>
          <w:sz w:val="20"/>
          <w:szCs w:val="20"/>
          <w:color w:val="231F20"/>
        </w:rPr>
        <w:t>product seizures or detentions, or refusal to permit the import or export of our products;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6"/>
        </w:numPr>
        <w:rPr>
          <w:rFonts w:ascii="Arial" w:cs="Arial" w:eastAsia="Arial" w:hAnsi="Arial"/>
          <w:sz w:val="20"/>
          <w:szCs w:val="20"/>
          <w:color w:val="231F20"/>
        </w:rPr>
      </w:pPr>
      <w:r>
        <w:rPr>
          <w:rFonts w:ascii="Arial" w:cs="Arial" w:eastAsia="Arial" w:hAnsi="Arial"/>
          <w:sz w:val="20"/>
          <w:szCs w:val="20"/>
          <w:color w:val="231F20"/>
        </w:rPr>
        <w:t>injunctions or the imposition of civil or criminal penalties.</w:t>
      </w:r>
    </w:p>
    <w:p>
      <w:pPr>
        <w:spacing w:after="0" w:line="240" w:lineRule="exact"/>
        <w:rPr>
          <w:sz w:val="20"/>
          <w:szCs w:val="20"/>
          <w:color w:val="auto"/>
        </w:rPr>
      </w:pPr>
    </w:p>
    <w:p>
      <w:pPr>
        <w:ind w:right="280" w:firstLine="490"/>
        <w:spacing w:after="0" w:line="261" w:lineRule="auto"/>
        <w:rPr>
          <w:sz w:val="20"/>
          <w:szCs w:val="20"/>
          <w:color w:val="auto"/>
        </w:rPr>
      </w:pPr>
      <w:r>
        <w:rPr>
          <w:rFonts w:ascii="Arial" w:cs="Arial" w:eastAsia="Arial" w:hAnsi="Arial"/>
          <w:sz w:val="20"/>
          <w:szCs w:val="20"/>
          <w:color w:val="231F20"/>
        </w:rPr>
        <w:t>The occurrence of any event or penalty described above may inhibit our ability to commercialize our product candidates and generate revenue and could require us to expend significant time and resources in response and could generate negative publicity.</w:t>
      </w:r>
    </w:p>
    <w:p>
      <w:pPr>
        <w:sectPr>
          <w:pgSz w:w="11880" w:h="15480" w:orient="portrait"/>
          <w:cols w:equalWidth="0" w:num="1">
            <w:col w:w="10780"/>
          </w:cols>
          <w:pgMar w:left="540" w:top="75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780"/>
          </w:cols>
          <w:pgMar w:left="540" w:top="754" w:right="560" w:bottom="0" w:gutter="0" w:footer="0" w:header="0"/>
          <w:type w:val="continuous"/>
        </w:sectPr>
      </w:pPr>
    </w:p>
    <w:bookmarkStart w:id="57" w:name="page58"/>
    <w:bookmarkEnd w:id="57"/>
    <w:p>
      <w:pPr>
        <w:ind w:right="40" w:firstLine="490"/>
        <w:spacing w:after="0" w:line="248" w:lineRule="auto"/>
        <w:rPr>
          <w:sz w:val="20"/>
          <w:szCs w:val="20"/>
          <w:color w:val="auto"/>
        </w:rPr>
      </w:pPr>
      <w:r>
        <w:rPr>
          <w:rFonts w:ascii="Arial" w:cs="Arial" w:eastAsia="Arial" w:hAnsi="Arial"/>
          <w:sz w:val="20"/>
          <w:szCs w:val="20"/>
          <w:color w:val="231F20"/>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318" w:lineRule="exact"/>
        <w:rPr>
          <w:sz w:val="20"/>
          <w:szCs w:val="20"/>
          <w:color w:val="auto"/>
        </w:rPr>
      </w:pPr>
    </w:p>
    <w:p>
      <w:pPr>
        <w:ind w:right="360"/>
        <w:spacing w:after="0" w:line="289" w:lineRule="auto"/>
        <w:rPr>
          <w:sz w:val="20"/>
          <w:szCs w:val="20"/>
          <w:color w:val="auto"/>
        </w:rPr>
      </w:pPr>
      <w:r>
        <w:rPr>
          <w:rFonts w:ascii="Arial" w:cs="Arial" w:eastAsia="Arial" w:hAnsi="Arial"/>
          <w:sz w:val="20"/>
          <w:szCs w:val="20"/>
          <w:b w:val="1"/>
          <w:bCs w:val="1"/>
          <w:i w:val="1"/>
          <w:iCs w:val="1"/>
          <w:color w:val="231F20"/>
        </w:rPr>
        <w:t>The FDA and other regulatory agencies actively enforce the laws and regulations prohibiting the promotion of off-label uses.</w:t>
      </w:r>
    </w:p>
    <w:p>
      <w:pPr>
        <w:spacing w:after="0" w:line="22" w:lineRule="exact"/>
        <w:rPr>
          <w:sz w:val="20"/>
          <w:szCs w:val="20"/>
          <w:color w:val="auto"/>
        </w:rPr>
      </w:pPr>
    </w:p>
    <w:p>
      <w:pPr>
        <w:ind w:right="120" w:firstLine="490"/>
        <w:spacing w:after="0" w:line="246" w:lineRule="auto"/>
        <w:rPr>
          <w:sz w:val="20"/>
          <w:szCs w:val="20"/>
          <w:color w:val="auto"/>
        </w:rPr>
      </w:pPr>
      <w:r>
        <w:rPr>
          <w:rFonts w:ascii="Arial" w:cs="Arial" w:eastAsia="Arial" w:hAnsi="Arial"/>
          <w:sz w:val="20"/>
          <w:szCs w:val="20"/>
          <w:color w:val="231F20"/>
        </w:rPr>
        <w:t>The FDA and other regulatory authorities strictly regulates marketing, labeling, advertising and promotion of prescription drugs. These regulations include standards and restrictions for direct-to-consumer advertising, industry-sponsored scientific and educational activities, and promotional activities involving the internet and off-label promotion. For example, any regulatory approval that the FDA grants is limited to those specific diseases and indications for which a product is deemed to be safe and effective by the FDA. While physicians in the U.S.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p>
    <w:p>
      <w:pPr>
        <w:spacing w:after="0" w:line="194"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financial condition, results of operations and growth prospects.</w:t>
      </w:r>
    </w:p>
    <w:p>
      <w:pPr>
        <w:spacing w:after="0" w:line="317" w:lineRule="exact"/>
        <w:rPr>
          <w:sz w:val="20"/>
          <w:szCs w:val="20"/>
          <w:color w:val="auto"/>
        </w:rPr>
      </w:pPr>
    </w:p>
    <w:p>
      <w:pPr>
        <w:ind w:right="200"/>
        <w:spacing w:after="0" w:line="264" w:lineRule="auto"/>
        <w:rPr>
          <w:sz w:val="20"/>
          <w:szCs w:val="20"/>
          <w:color w:val="auto"/>
        </w:rPr>
      </w:pPr>
      <w:r>
        <w:rPr>
          <w:rFonts w:ascii="Arial" w:cs="Arial" w:eastAsia="Arial" w:hAnsi="Arial"/>
          <w:sz w:val="20"/>
          <w:szCs w:val="20"/>
          <w:b w:val="1"/>
          <w:bCs w:val="1"/>
          <w:i w:val="1"/>
          <w:iCs w:val="1"/>
          <w:color w:val="231F20"/>
        </w:rPr>
        <w:t>Our employees, independent contractors, principal investigators, CROs, consultants, commercial partners, and vendors may engage in misconduct or other improper activities, including non-compliance with regulatory standards and requirements.</w:t>
      </w:r>
    </w:p>
    <w:p>
      <w:pPr>
        <w:spacing w:after="0" w:line="47" w:lineRule="exact"/>
        <w:rPr>
          <w:sz w:val="20"/>
          <w:szCs w:val="20"/>
          <w:color w:val="auto"/>
        </w:rPr>
      </w:pPr>
    </w:p>
    <w:p>
      <w:pPr>
        <w:ind w:right="120" w:firstLine="490"/>
        <w:spacing w:after="0" w:line="241" w:lineRule="auto"/>
        <w:rPr>
          <w:sz w:val="20"/>
          <w:szCs w:val="20"/>
          <w:color w:val="auto"/>
        </w:rPr>
      </w:pPr>
      <w:r>
        <w:rPr>
          <w:rFonts w:ascii="Arial" w:cs="Arial" w:eastAsia="Arial" w:hAnsi="Arial"/>
          <w:sz w:val="20"/>
          <w:szCs w:val="20"/>
          <w:color w:val="231F20"/>
        </w:rPr>
        <w:t>We are exposed to the risk of employee fraud or other misconduct or failure to comply with applicable regulatory requirements. Misconduct, errors, or omissions by employees and independent contractors, such as principal investigators, CROs, consultants, commercial partners, and vendors, could include failures to comply with regulations of the FDA and other comparable regulatory authorities, to provide accurate information to such regulators, to comply with manufacturing standards we have established, to comply with healthcare fraud and abuse laws, to report financial information or data accurately, to disclose unauthorized activities to us, or to comply with requirements of government contracts (e.g., the NIAID contract).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800"/>
          </w:cols>
          <w:pgMar w:left="540" w:top="750" w:right="540" w:bottom="0" w:gutter="0" w:footer="0" w:header="0"/>
          <w:type w:val="continuous"/>
        </w:sectPr>
      </w:pPr>
    </w:p>
    <w:bookmarkStart w:id="58" w:name="page59"/>
    <w:bookmarkEnd w:id="58"/>
    <w:p>
      <w:pPr>
        <w:ind w:right="520"/>
        <w:spacing w:after="0" w:line="264" w:lineRule="auto"/>
        <w:rPr>
          <w:sz w:val="20"/>
          <w:szCs w:val="20"/>
          <w:color w:val="auto"/>
        </w:rPr>
      </w:pPr>
      <w:r>
        <w:rPr>
          <w:rFonts w:ascii="Arial" w:cs="Arial" w:eastAsia="Arial" w:hAnsi="Arial"/>
          <w:sz w:val="20"/>
          <w:szCs w:val="20"/>
          <w:b w:val="1"/>
          <w:bCs w:val="1"/>
          <w:i w:val="1"/>
          <w:iCs w:val="1"/>
          <w:color w:val="231F20"/>
        </w:rPr>
        <w:t>If we successfully commercialize any of our product candidates, failure to comply with our reporting and payment obligations under U.S. governmental pricing programs could have a material adverse effect on our business, financial condition, results of operations and growth prospects.</w:t>
      </w:r>
    </w:p>
    <w:p>
      <w:pPr>
        <w:spacing w:after="0" w:line="47"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231F20"/>
        </w:rPr>
        <w:t>If we participate in the Medicaid Drug Rebate Program and/or Medicare Part D, if and when we successfully commercialize a product candidate, we will be required to report certain pricing information for such product candidate to the Centers for Medicare &amp; Medicaid Services, the federal agency that administers the Medicaid and Medicare programs. We may also be required to report pricing information to the U.S. Department of Veterans Affairs. If we become subject to these reporting requirements, we will be liable for errors associated with our submission of pricing data, for failure to report pricing data in a timely manner, and for overcharging government payers, which can result in civil monetary penalties under the Medicaid statute, the federal civil False Claims Act, and other laws and regulations.</w:t>
      </w:r>
    </w:p>
    <w:p>
      <w:pPr>
        <w:spacing w:after="0" w:line="317"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b w:val="1"/>
          <w:bCs w:val="1"/>
          <w:i w:val="1"/>
          <w:iCs w:val="1"/>
          <w:color w:val="231F20"/>
        </w:rPr>
        <w:t>Our current and future relationships with healthcare professionals, principal investigators, consultants, customers, and third-party payors in the U.S. and elsewhere may be subject, directly or indirectly, to applicable anti-kickback, fraud and abuse, false claims, physician payment transparency and other healthcare laws and regulations, which could expose us to penalties.</w:t>
      </w:r>
    </w:p>
    <w:p>
      <w:pPr>
        <w:spacing w:after="0" w:line="55" w:lineRule="exact"/>
        <w:rPr>
          <w:sz w:val="20"/>
          <w:szCs w:val="20"/>
          <w:color w:val="auto"/>
        </w:rPr>
      </w:pPr>
    </w:p>
    <w:p>
      <w:pPr>
        <w:ind w:right="80" w:firstLine="490"/>
        <w:spacing w:after="0" w:line="260" w:lineRule="auto"/>
        <w:rPr>
          <w:sz w:val="20"/>
          <w:szCs w:val="20"/>
          <w:color w:val="auto"/>
        </w:rPr>
      </w:pPr>
      <w:r>
        <w:rPr>
          <w:rFonts w:ascii="Arial" w:cs="Arial" w:eastAsia="Arial" w:hAnsi="Arial"/>
          <w:sz w:val="19"/>
          <w:szCs w:val="19"/>
          <w:color w:val="231F20"/>
        </w:rPr>
        <w:t>Healthcare providers, physicians, and third-party payors in the U.S. and elsewhere will play a primary role in the recommendation and prescription of any product candidates for which we obtain regulatory approval. Our current and future arrangements with healthcare professionals, principal investigators, consultants, customers, and third-party payors may expose us to broadly applicable fraud and abuse and other healthcare laws that may constrain the business or financial arrangements and relationships through which we research, sell, market, and distribute any product candidates for which we obtain regulatory approval. In addition, we may be subject to physician payment transparency laws and regulations by the federal government and by the states and foreign jurisdictions in which we conduct our business. The applicable federal, state, and foreign healthcare laws that may affect our ability to operate include the following:</w:t>
      </w:r>
    </w:p>
    <w:p>
      <w:pPr>
        <w:spacing w:after="0" w:line="80" w:lineRule="exact"/>
        <w:rPr>
          <w:sz w:val="20"/>
          <w:szCs w:val="20"/>
          <w:color w:val="auto"/>
        </w:rPr>
      </w:pPr>
    </w:p>
    <w:p>
      <w:pPr>
        <w:ind w:left="980" w:right="40" w:hanging="490"/>
        <w:spacing w:after="0" w:line="247" w:lineRule="auto"/>
        <w:tabs>
          <w:tab w:leader="none" w:pos="980" w:val="left"/>
        </w:tabs>
        <w:numPr>
          <w:ilvl w:val="0"/>
          <w:numId w:val="37"/>
        </w:numPr>
        <w:rPr>
          <w:rFonts w:ascii="Arial" w:cs="Arial" w:eastAsia="Arial" w:hAnsi="Arial"/>
          <w:sz w:val="20"/>
          <w:szCs w:val="20"/>
          <w:color w:val="231F20"/>
        </w:rPr>
      </w:pPr>
      <w:r>
        <w:rPr>
          <w:rFonts w:ascii="Arial" w:cs="Arial" w:eastAsia="Arial" w:hAnsi="Arial"/>
          <w:sz w:val="20"/>
          <w:szCs w:val="20"/>
          <w:color w:val="231F20"/>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 order, or the arranging for or recommending the purchase, lease or order of any good, facility, item or service, for which payment may be made, in whole or in part, under federal and state healthcare programs such as Medicare and Medicaid. A person or entity does not need to have actual knowledge of the federal Anti- Kickback Statute or specific intent to violate it in order to have committed a violation;</w:t>
      </w:r>
    </w:p>
    <w:p>
      <w:pPr>
        <w:spacing w:after="0" w:line="86" w:lineRule="exact"/>
        <w:rPr>
          <w:rFonts w:ascii="Arial" w:cs="Arial" w:eastAsia="Arial" w:hAnsi="Arial"/>
          <w:sz w:val="20"/>
          <w:szCs w:val="20"/>
          <w:color w:val="231F20"/>
        </w:rPr>
      </w:pPr>
    </w:p>
    <w:p>
      <w:pPr>
        <w:ind w:left="980" w:hanging="490"/>
        <w:spacing w:after="0" w:line="245" w:lineRule="auto"/>
        <w:tabs>
          <w:tab w:leader="none" w:pos="980" w:val="left"/>
        </w:tabs>
        <w:numPr>
          <w:ilvl w:val="0"/>
          <w:numId w:val="37"/>
        </w:numPr>
        <w:rPr>
          <w:rFonts w:ascii="Arial" w:cs="Arial" w:eastAsia="Arial" w:hAnsi="Arial"/>
          <w:sz w:val="20"/>
          <w:szCs w:val="20"/>
          <w:color w:val="231F20"/>
        </w:rPr>
      </w:pPr>
      <w:r>
        <w:rPr>
          <w:rFonts w:ascii="Arial" w:cs="Arial" w:eastAsia="Arial" w:hAnsi="Arial"/>
          <w:sz w:val="20"/>
          <w:szCs w:val="20"/>
          <w:color w:val="231F20"/>
        </w:rPr>
        <w:t>federal civil and criminal false claims laws, including the federal False Claims Act, which impose criminal and civil penalties, including through civil whistleblower or qui tam actions, against individuals or entities for, among other things, knowingly presenting, or causing to be presented, to the federal government, including the Medicare and Medicaid programs, claims for payment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90" w:lineRule="exact"/>
        <w:rPr>
          <w:rFonts w:ascii="Arial" w:cs="Arial" w:eastAsia="Arial" w:hAnsi="Arial"/>
          <w:sz w:val="20"/>
          <w:szCs w:val="20"/>
          <w:color w:val="231F20"/>
        </w:rPr>
      </w:pPr>
    </w:p>
    <w:p>
      <w:pPr>
        <w:ind w:left="980" w:right="120" w:hanging="490"/>
        <w:spacing w:after="0" w:line="254" w:lineRule="auto"/>
        <w:tabs>
          <w:tab w:leader="none" w:pos="980" w:val="left"/>
        </w:tabs>
        <w:numPr>
          <w:ilvl w:val="0"/>
          <w:numId w:val="37"/>
        </w:numPr>
        <w:rPr>
          <w:rFonts w:ascii="Arial" w:cs="Arial" w:eastAsia="Arial" w:hAnsi="Arial"/>
          <w:sz w:val="20"/>
          <w:szCs w:val="20"/>
          <w:color w:val="231F20"/>
        </w:rPr>
      </w:pPr>
      <w:r>
        <w:rPr>
          <w:rFonts w:ascii="Arial" w:cs="Arial" w:eastAsia="Arial" w:hAnsi="Arial"/>
          <w:sz w:val="20"/>
          <w:szCs w:val="20"/>
          <w:color w:val="231F20"/>
        </w:rPr>
        <w:t>the federal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79" w:lineRule="exact"/>
        <w:rPr>
          <w:rFonts w:ascii="Arial" w:cs="Arial" w:eastAsia="Arial" w:hAnsi="Arial"/>
          <w:sz w:val="20"/>
          <w:szCs w:val="20"/>
          <w:color w:val="231F20"/>
        </w:rPr>
      </w:pPr>
    </w:p>
    <w:p>
      <w:pPr>
        <w:ind w:left="980" w:right="20" w:hanging="490"/>
        <w:spacing w:after="0" w:line="244" w:lineRule="auto"/>
        <w:tabs>
          <w:tab w:leader="none" w:pos="980" w:val="left"/>
        </w:tabs>
        <w:numPr>
          <w:ilvl w:val="0"/>
          <w:numId w:val="37"/>
        </w:numPr>
        <w:rPr>
          <w:rFonts w:ascii="Arial" w:cs="Arial" w:eastAsia="Arial" w:hAnsi="Arial"/>
          <w:sz w:val="20"/>
          <w:szCs w:val="20"/>
          <w:color w:val="231F20"/>
        </w:rPr>
      </w:pPr>
      <w:r>
        <w:rPr>
          <w:rFonts w:ascii="Arial" w:cs="Arial" w:eastAsia="Arial" w:hAnsi="Arial"/>
          <w:sz w:val="20"/>
          <w:szCs w:val="20"/>
          <w:color w:val="231F20"/>
        </w:rPr>
        <w:t>the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ectPr>
          <w:pgSz w:w="11880" w:h="15480" w:orient="portrait"/>
          <w:cols w:equalWidth="0" w:num="1">
            <w:col w:w="10760"/>
          </w:cols>
          <w:pgMar w:left="540" w:top="754" w:right="580"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760"/>
          </w:cols>
          <w:pgMar w:left="540" w:top="754" w:right="580" w:bottom="0" w:gutter="0" w:footer="0" w:header="0"/>
          <w:type w:val="continuous"/>
        </w:sectPr>
      </w:pPr>
    </w:p>
    <w:bookmarkStart w:id="59" w:name="page60"/>
    <w:bookmarkEnd w:id="59"/>
    <w:p>
      <w:pPr>
        <w:ind w:left="980" w:right="80" w:hanging="490"/>
        <w:spacing w:after="0" w:line="247" w:lineRule="auto"/>
        <w:tabs>
          <w:tab w:leader="none" w:pos="980" w:val="left"/>
        </w:tabs>
        <w:numPr>
          <w:ilvl w:val="0"/>
          <w:numId w:val="38"/>
        </w:numPr>
        <w:rPr>
          <w:rFonts w:ascii="Arial" w:cs="Arial" w:eastAsia="Arial" w:hAnsi="Arial"/>
          <w:sz w:val="20"/>
          <w:szCs w:val="20"/>
          <w:color w:val="231F20"/>
        </w:rPr>
      </w:pPr>
      <w:r>
        <w:rPr>
          <w:rFonts w:ascii="Arial" w:cs="Arial" w:eastAsia="Arial" w:hAnsi="Arial"/>
          <w:sz w:val="20"/>
          <w:szCs w:val="20"/>
          <w:color w:val="231F20"/>
        </w:rPr>
        <w:t>the federal Physician Payments Sunshine Act, which requires manufacturers of certain drugs, devices, biologicals, and medical supplies for which payment is available under Medicare, Medicaid or the Children’s Health Insurance Program (with certain exceptions) to report annually to the Centers for Medicare &amp; Medicaid Services (“CMS”) information related to payments and “transfers of value” provided to physicians (defined to include doctors, dentists, optometrists, podiatrists, and chiropractors), certain other healthcare providers (such as nurse practitioners and physicians assistants) and teaching hospitals, as well as ownership and investment interests held by physicians and their immediate family members; and</w:t>
      </w:r>
    </w:p>
    <w:p>
      <w:pPr>
        <w:spacing w:after="0" w:line="86" w:lineRule="exact"/>
        <w:rPr>
          <w:rFonts w:ascii="Arial" w:cs="Arial" w:eastAsia="Arial" w:hAnsi="Arial"/>
          <w:sz w:val="20"/>
          <w:szCs w:val="20"/>
          <w:color w:val="231F20"/>
        </w:rPr>
      </w:pPr>
    </w:p>
    <w:p>
      <w:pPr>
        <w:ind w:left="980" w:hanging="490"/>
        <w:spacing w:after="0" w:line="245" w:lineRule="auto"/>
        <w:tabs>
          <w:tab w:leader="none" w:pos="980" w:val="left"/>
        </w:tabs>
        <w:numPr>
          <w:ilvl w:val="0"/>
          <w:numId w:val="38"/>
        </w:numPr>
        <w:rPr>
          <w:rFonts w:ascii="Arial" w:cs="Arial" w:eastAsia="Arial" w:hAnsi="Arial"/>
          <w:sz w:val="20"/>
          <w:szCs w:val="20"/>
          <w:color w:val="231F20"/>
        </w:rPr>
      </w:pPr>
      <w:r>
        <w:rPr>
          <w:rFonts w:ascii="Arial" w:cs="Arial" w:eastAsia="Arial" w:hAnsi="Arial"/>
          <w:sz w:val="20"/>
          <w:szCs w:val="20"/>
          <w:color w:val="231F20"/>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local laws requiring the licensure of pharmaceutical sales representatives.</w:t>
      </w:r>
    </w:p>
    <w:p>
      <w:pPr>
        <w:spacing w:after="0" w:line="197"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criminal, civil, or administrative sanctions, including exclusions from participation in government healthcare programs, which could also affect our business.</w:t>
      </w:r>
    </w:p>
    <w:p>
      <w:pPr>
        <w:spacing w:after="0" w:line="327" w:lineRule="exact"/>
        <w:rPr>
          <w:sz w:val="20"/>
          <w:szCs w:val="20"/>
          <w:color w:val="auto"/>
        </w:rPr>
      </w:pPr>
    </w:p>
    <w:p>
      <w:pPr>
        <w:ind w:right="1120"/>
        <w:spacing w:after="0" w:line="289" w:lineRule="auto"/>
        <w:rPr>
          <w:sz w:val="20"/>
          <w:szCs w:val="20"/>
          <w:color w:val="auto"/>
        </w:rPr>
      </w:pPr>
      <w:r>
        <w:rPr>
          <w:rFonts w:ascii="Arial" w:cs="Arial" w:eastAsia="Arial" w:hAnsi="Arial"/>
          <w:sz w:val="20"/>
          <w:szCs w:val="20"/>
          <w:b w:val="1"/>
          <w:bCs w:val="1"/>
          <w:i w:val="1"/>
          <w:iCs w:val="1"/>
          <w:color w:val="231F20"/>
        </w:rPr>
        <w:t>Changes in healthcare policies, laws, and regulations may impact our ability to obtain approval for, or commercialize our product candidates, if approved.</w:t>
      </w:r>
    </w:p>
    <w:p>
      <w:pPr>
        <w:spacing w:after="0" w:line="22" w:lineRule="exact"/>
        <w:rPr>
          <w:sz w:val="20"/>
          <w:szCs w:val="20"/>
          <w:color w:val="auto"/>
        </w:rPr>
      </w:pPr>
    </w:p>
    <w:p>
      <w:pPr>
        <w:ind w:right="40" w:firstLine="490"/>
        <w:spacing w:after="0" w:line="261" w:lineRule="auto"/>
        <w:rPr>
          <w:sz w:val="20"/>
          <w:szCs w:val="20"/>
          <w:color w:val="auto"/>
        </w:rPr>
      </w:pPr>
      <w:r>
        <w:rPr>
          <w:rFonts w:ascii="Arial" w:cs="Arial" w:eastAsia="Arial" w:hAnsi="Arial"/>
          <w:sz w:val="20"/>
          <w:szCs w:val="20"/>
          <w:color w:val="231F20"/>
        </w:rPr>
        <w:t>In the U.S. and some foreign jurisdictions there have been, and continue to be, several legislative and regulatory changes and proposed reforms of the healthcare system in an effort to contain costs, improve quality, and expand access to care.</w:t>
      </w:r>
    </w:p>
    <w:p>
      <w:pPr>
        <w:spacing w:after="0" w:line="60"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231F20"/>
        </w:rPr>
        <w:t>In the U.S.,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on June 17, 2021, the U.S. Supreme Court dismissed a challenge on procedural grounds that argued the Patient Protection and Affordable Care Act, as amended by the Health Care and Education Reconciliation Act of 2010 (the “ACA”), is unconstitutional in its entirety because the “individual mandate” was repealed by Congress. On August 16, 2022, the Inflation Reduction Act of 2022 (the “IRA”) was signed into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creating a new manufacturer discount program.</w:t>
      </w:r>
    </w:p>
    <w:p>
      <w:pPr>
        <w:sectPr>
          <w:pgSz w:w="11880" w:h="15480" w:orient="portrait"/>
          <w:cols w:equalWidth="0" w:num="1">
            <w:col w:w="10780"/>
          </w:cols>
          <w:pgMar w:left="540" w:top="76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780"/>
          </w:cols>
          <w:pgMar w:left="540" w:top="764" w:right="560" w:bottom="0" w:gutter="0" w:footer="0" w:header="0"/>
          <w:type w:val="continuous"/>
        </w:sectPr>
      </w:pPr>
    </w:p>
    <w:bookmarkStart w:id="60" w:name="page61"/>
    <w:bookmarkEnd w:id="60"/>
    <w:p>
      <w:pPr>
        <w:ind w:firstLine="490"/>
        <w:spacing w:after="0" w:line="243" w:lineRule="auto"/>
        <w:rPr>
          <w:sz w:val="20"/>
          <w:szCs w:val="20"/>
          <w:color w:val="auto"/>
        </w:rPr>
      </w:pPr>
      <w:r>
        <w:rPr>
          <w:rFonts w:ascii="Arial" w:cs="Arial" w:eastAsia="Arial" w:hAnsi="Arial"/>
          <w:sz w:val="20"/>
          <w:szCs w:val="20"/>
          <w:color w:val="231F20"/>
        </w:rPr>
        <w:t>In addition,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IRA, among other things (i) directs the U.S. Department of Health and Human Services (“HHS”) to negotiate the price of certain high-expenditure, single-source drugs and biologics covered under Medicare and (ii) imposes rebates under Medicare Part B and Medicare Part D to penalize price increases that outpace inflation. These provisions took effect progressively starting in fiscal year 2023. CMS published the negotiated prices for the initial ten drugs, which went into effect in 2026, and the subsequent 15 drugs, which will first be effective in 2027, as well as the next set of 15 drugs that will be subject to negotiation,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w:t>
      </w:r>
    </w:p>
    <w:p>
      <w:pPr>
        <w:spacing w:after="0" w:line="203" w:lineRule="exact"/>
        <w:rPr>
          <w:sz w:val="20"/>
          <w:szCs w:val="20"/>
          <w:color w:val="auto"/>
        </w:rPr>
      </w:pPr>
    </w:p>
    <w:p>
      <w:pPr>
        <w:ind w:right="160" w:firstLine="490"/>
        <w:spacing w:after="0" w:line="254" w:lineRule="auto"/>
        <w:rPr>
          <w:sz w:val="20"/>
          <w:szCs w:val="20"/>
          <w:color w:val="auto"/>
        </w:rPr>
      </w:pPr>
      <w:r>
        <w:rPr>
          <w:rFonts w:ascii="Arial" w:cs="Arial" w:eastAsia="Arial" w:hAnsi="Arial"/>
          <w:sz w:val="20"/>
          <w:szCs w:val="20"/>
          <w:color w:val="231F20"/>
        </w:rPr>
        <w:t>In July 2025, the One Big Beautiful Bill Act (the “OBBBA”) was enacted and imposes significant reductions in the funding of the Medicaid program. Such reductions are expected to decrease the number of persons enrolled in Medicaid and reduce the services covered by Medicaid, which could adversely affect the sales of any product candidate that we may commercialize.</w:t>
      </w:r>
    </w:p>
    <w:p>
      <w:pPr>
        <w:spacing w:after="0" w:line="186"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200" w:lineRule="exact"/>
        <w:rPr>
          <w:sz w:val="20"/>
          <w:szCs w:val="20"/>
          <w:color w:val="auto"/>
        </w:rPr>
      </w:pPr>
    </w:p>
    <w:p>
      <w:pPr>
        <w:ind w:right="120" w:firstLine="490"/>
        <w:spacing w:after="0" w:line="261" w:lineRule="auto"/>
        <w:rPr>
          <w:sz w:val="20"/>
          <w:szCs w:val="20"/>
          <w:color w:val="auto"/>
        </w:rPr>
      </w:pPr>
      <w:r>
        <w:rPr>
          <w:rFonts w:ascii="Arial" w:cs="Arial" w:eastAsia="Arial" w:hAnsi="Arial"/>
          <w:sz w:val="20"/>
          <w:szCs w:val="20"/>
          <w:color w:val="231F20"/>
        </w:rPr>
        <w:t>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80"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231F20"/>
        </w:rPr>
        <w:t>At the state level, legislatures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Outside of the U.S., particularly in the European Union, the pricing of prescription pharmaceuticals is subject to governmental control. In these countries, pricing negotiations with governmental authorities can take considerable time after the receipt of regulatory approval for a product. To obtain coverage and reimbursement or pricing approval in some countries, we may be required to conduct a clinical trial that compares the cost-effectiveness of our product candidates to other available therapies. If reimbursement of our product candidates is unavailable or limited in scope or amount, or if pricing is set at unsatisfactory levels, our business could be harmed.</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780"/>
          </w:cols>
          <w:pgMar w:left="540" w:top="750" w:right="560" w:bottom="0" w:gutter="0" w:footer="0" w:header="0"/>
          <w:type w:val="continuous"/>
        </w:sectPr>
      </w:pPr>
    </w:p>
    <w:bookmarkStart w:id="61" w:name="page62"/>
    <w:bookmarkEnd w:id="61"/>
    <w:p>
      <w:pPr>
        <w:ind w:right="60"/>
        <w:spacing w:after="0" w:line="289" w:lineRule="auto"/>
        <w:rPr>
          <w:sz w:val="20"/>
          <w:szCs w:val="20"/>
          <w:color w:val="auto"/>
        </w:rPr>
      </w:pPr>
      <w:r>
        <w:rPr>
          <w:rFonts w:ascii="Arial" w:cs="Arial" w:eastAsia="Arial" w:hAnsi="Arial"/>
          <w:sz w:val="20"/>
          <w:szCs w:val="20"/>
          <w:b w:val="1"/>
          <w:bCs w:val="1"/>
          <w:i w:val="1"/>
          <w:iCs w:val="1"/>
          <w:color w:val="231F20"/>
        </w:rPr>
        <w:t>We are subject to privacy and data security laws, rules, regulations, policies, industry standards, and contractual obligations, and our failure to comply with them could harm our business.</w:t>
      </w:r>
    </w:p>
    <w:p>
      <w:pPr>
        <w:spacing w:after="0" w:line="22"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231F20"/>
        </w:rPr>
        <w:t>We maintain a large quantity of information, including confidential business information and information related to our employees and may maintain or have responsibility for the maintenance of personal information in connection with the conduct of our clinical trials. As such, we are subject to laws and regulations governing the privacy and security of such information. In the U.S., there are numerous federal and state privacy and data security laws and regulations governing the collection, use, disclosure, and protection of personal information that apply or could apply to our operations or the operations of our partners,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in particular in relation to health information, which may affect our business and is expected to increase our compliance costs and exposure to liability.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200"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Compliance with these and any other applicable privacy and data security laws, regulations and other requirements we may be subject to in the future is a rigorous and time-intensive process, and we may be required to put in place additional mechanisms ensuring compliance with such data protection rules. If we fail to comply with any such laws, regulations or other requirements, we may face significant fines and penalties that could adversely affect our business, financial condition, results of operations or growth prospects. Any failure or perceived failure by us or our third-party processors to comply with these data protection and privacy laws, regulations and requirements could result in significant government enforcement actions, which could include civil, criminal, and administrative penalties, orders requiring that we change our practices, claims for damages, and other liabilities, regulatory investigations and enforcement action, private litigation, significant costs (including in investigating and defending such claims, in remediation measures or changes to our operations), and adverse publicity, any of which could negatively affect our business, financial condition, results of operations and growth prospects. Furthermore, the laws are not consistent, and compliance in the event of a widespread data breach is costly. In addition, states are constantly adopting new laws or amending existing laws, requiring attention to frequently changing regulatory requirements.</w:t>
      </w:r>
    </w:p>
    <w:p>
      <w:pPr>
        <w:spacing w:after="0" w:line="203"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231F20"/>
        </w:rPr>
        <w:t>With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rely on our CROs to ensure compliance with data-privacy regulations that may arise in our trials. Other than our website privacy policy,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and our business, financial condition, results of operations and growth prospects may be adversely affected.</w:t>
      </w:r>
    </w:p>
    <w:p>
      <w:pPr>
        <w:spacing w:after="0" w:line="330"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b w:val="1"/>
          <w:bCs w:val="1"/>
          <w:i w:val="1"/>
          <w:iCs w:val="1"/>
          <w:color w:val="231F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5" w:lineRule="exact"/>
        <w:rPr>
          <w:sz w:val="20"/>
          <w:szCs w:val="20"/>
          <w:color w:val="auto"/>
        </w:rPr>
      </w:pPr>
    </w:p>
    <w:p>
      <w:pPr>
        <w:ind w:right="300" w:firstLine="490"/>
        <w:spacing w:after="0" w:line="262" w:lineRule="auto"/>
        <w:rPr>
          <w:sz w:val="20"/>
          <w:szCs w:val="20"/>
          <w:color w:val="auto"/>
        </w:rPr>
      </w:pPr>
      <w:r>
        <w:rPr>
          <w:rFonts w:ascii="Arial" w:cs="Arial" w:eastAsia="Arial" w:hAnsi="Arial"/>
          <w:sz w:val="19"/>
          <w:szCs w:val="19"/>
          <w:color w:val="231F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w:t>
      </w:r>
    </w:p>
    <w:p>
      <w:pPr>
        <w:sectPr>
          <w:pgSz w:w="11880" w:h="15480" w:orient="portrait"/>
          <w:cols w:equalWidth="0" w:num="1">
            <w:col w:w="10800"/>
          </w:cols>
          <w:pgMar w:left="540" w:top="75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800"/>
          </w:cols>
          <w:pgMar w:left="540" w:top="754" w:right="540" w:bottom="0" w:gutter="0" w:footer="0" w:header="0"/>
          <w:type w:val="continuous"/>
        </w:sectPr>
      </w:pPr>
    </w:p>
    <w:bookmarkStart w:id="62" w:name="page63"/>
    <w:bookmarkEnd w:id="62"/>
    <w:p>
      <w:pPr>
        <w:ind w:right="40" w:firstLine="490"/>
        <w:spacing w:after="0" w:line="246" w:lineRule="auto"/>
        <w:rPr>
          <w:sz w:val="20"/>
          <w:szCs w:val="20"/>
          <w:color w:val="auto"/>
        </w:rPr>
      </w:pPr>
      <w:r>
        <w:rPr>
          <w:rFonts w:ascii="Arial" w:cs="Arial" w:eastAsia="Arial" w:hAnsi="Arial"/>
          <w:sz w:val="20"/>
          <w:szCs w:val="20"/>
          <w:color w:val="231F20"/>
        </w:rPr>
        <w:t>We may engage third parties to sell any approved product candidates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4"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231F20"/>
        </w:rPr>
        <w:t>We are also subject to export control, import, and trade sanctions laws and regulations which may restrict or prohibit altogether the provision, sale, or supply of our product candidates to certain governments, persons, entities, countries, and territories, including those that are the target of comprehensive sanctions or an embargo. Additionally, new or increased tariffs and other changes in U.S. trade policy, including new sanctions, could trigger retaliatory actions by affected countries. Obtaining the necessary export license or other authorization for a particular transaction may be time-consuming and may result in the delay or loss of sales opportunities. Violations of U.S. export control, import, or sanctions laws and regulations can result in significant fines or penalties and possible incarceration for responsible employees and managers.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Risks Related to Ownership of Our Common Stock</w:t>
      </w:r>
    </w:p>
    <w:p>
      <w:pPr>
        <w:spacing w:after="0" w:line="128" w:lineRule="exact"/>
        <w:rPr>
          <w:sz w:val="20"/>
          <w:szCs w:val="20"/>
          <w:color w:val="auto"/>
        </w:rPr>
      </w:pPr>
    </w:p>
    <w:p>
      <w:pPr>
        <w:jc w:val="both"/>
        <w:ind w:right="80"/>
        <w:spacing w:after="0" w:line="264" w:lineRule="auto"/>
        <w:rPr>
          <w:sz w:val="20"/>
          <w:szCs w:val="20"/>
          <w:color w:val="auto"/>
        </w:rPr>
      </w:pPr>
      <w:r>
        <w:rPr>
          <w:rFonts w:ascii="Arial" w:cs="Arial" w:eastAsia="Arial" w:hAnsi="Arial"/>
          <w:sz w:val="20"/>
          <w:szCs w:val="20"/>
          <w:b w:val="1"/>
          <w:bCs w:val="1"/>
          <w:i w:val="1"/>
          <w:iCs w:val="1"/>
          <w:color w:val="231F20"/>
        </w:rPr>
        <w:t>Concentration of ownership of our common stock among our existing executive officers, directors, and principal stockholders may prevent new investors from influencing significant corporate decisions and matters submitted to stockholders for approval.</w:t>
      </w:r>
    </w:p>
    <w:p>
      <w:pPr>
        <w:spacing w:after="0" w:line="47"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Our executive officers, directors, and current beneficial owners of 5% or more of our capital stock and their respective affiliates beneficially own, in the aggregate, a significant percentage of our outstanding common stock. As a result, these persons, acting together, would be able to significantly influence all matters requiring stockholder approval, including the election and removal of directors, any merger, consolidation, or sale of all or substantially all of our assets, or other significant corporate transactions. In addition, these persons, acting together, may have the ability to control the management and affairs of our company. Accordingly, this concentration of ownership may harm the market price of our common stock by:</w:t>
      </w:r>
    </w:p>
    <w:p>
      <w:pPr>
        <w:spacing w:after="0" w:line="87" w:lineRule="exact"/>
        <w:rPr>
          <w:sz w:val="20"/>
          <w:szCs w:val="20"/>
          <w:color w:val="auto"/>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Arial" w:cs="Arial" w:eastAsia="Arial" w:hAnsi="Arial"/>
          <w:sz w:val="20"/>
          <w:szCs w:val="20"/>
          <w:color w:val="231F20"/>
        </w:rPr>
        <w:t>delaying, deferring, or preventing a change in control;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Arial" w:cs="Arial" w:eastAsia="Arial" w:hAnsi="Arial"/>
          <w:sz w:val="20"/>
          <w:szCs w:val="20"/>
          <w:color w:val="231F20"/>
        </w:rPr>
        <w:t>entrenching our management and/or the board of directors (the “Board”);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Arial" w:cs="Arial" w:eastAsia="Arial" w:hAnsi="Arial"/>
          <w:sz w:val="20"/>
          <w:szCs w:val="20"/>
          <w:color w:val="231F20"/>
        </w:rPr>
        <w:t>impeding a merger, consolidation, takeover, or other business combination involving us; or</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Arial" w:cs="Arial" w:eastAsia="Arial" w:hAnsi="Arial"/>
          <w:sz w:val="20"/>
          <w:szCs w:val="20"/>
          <w:color w:val="231F20"/>
        </w:rPr>
        <w:t>discouraging a potential acquirer from making a tender offer or otherwise attempting to obtain control of us.</w:t>
      </w:r>
    </w:p>
    <w:p>
      <w:pPr>
        <w:spacing w:after="0" w:line="240" w:lineRule="exact"/>
        <w:rPr>
          <w:sz w:val="20"/>
          <w:szCs w:val="20"/>
          <w:color w:val="auto"/>
        </w:rPr>
      </w:pPr>
    </w:p>
    <w:p>
      <w:pPr>
        <w:ind w:right="120" w:firstLine="490"/>
        <w:spacing w:after="0" w:line="250" w:lineRule="auto"/>
        <w:rPr>
          <w:sz w:val="20"/>
          <w:szCs w:val="20"/>
          <w:color w:val="auto"/>
        </w:rPr>
      </w:pPr>
      <w:r>
        <w:rPr>
          <w:rFonts w:ascii="Arial" w:cs="Arial" w:eastAsia="Arial" w:hAnsi="Arial"/>
          <w:sz w:val="20"/>
          <w:szCs w:val="20"/>
          <w:color w:val="231F20"/>
        </w:rPr>
        <w:t>In addition, some of these persons or entities may have interests different than yours. For example, because many of these stockholders purchased their shares at prices substantially below the price at which shares were sold in our IPO and recent financings and have held their shares for a longer period, they may be more interested in selling our company to an acquirer than other investors, or they may want us to pursue strategies that deviate from the interests of other stockholders.</w:t>
      </w:r>
    </w:p>
    <w:p>
      <w:pPr>
        <w:spacing w:after="0" w:line="316" w:lineRule="exact"/>
        <w:rPr>
          <w:sz w:val="20"/>
          <w:szCs w:val="20"/>
          <w:color w:val="auto"/>
        </w:rPr>
      </w:pPr>
    </w:p>
    <w:p>
      <w:pPr>
        <w:ind w:right="560"/>
        <w:spacing w:after="0" w:line="289" w:lineRule="auto"/>
        <w:rPr>
          <w:sz w:val="20"/>
          <w:szCs w:val="20"/>
          <w:color w:val="auto"/>
        </w:rPr>
      </w:pPr>
      <w:r>
        <w:rPr>
          <w:rFonts w:ascii="Arial" w:cs="Arial" w:eastAsia="Arial" w:hAnsi="Arial"/>
          <w:sz w:val="20"/>
          <w:szCs w:val="20"/>
          <w:b w:val="1"/>
          <w:bCs w:val="1"/>
          <w:i w:val="1"/>
          <w:iCs w:val="1"/>
          <w:color w:val="231F20"/>
        </w:rPr>
        <w:t>A sale of a substantial number of shares of our common stock may cause the price of our common stock to decline.</w:t>
      </w:r>
    </w:p>
    <w:p>
      <w:pPr>
        <w:spacing w:after="0" w:line="22" w:lineRule="exact"/>
        <w:rPr>
          <w:sz w:val="20"/>
          <w:szCs w:val="20"/>
          <w:color w:val="auto"/>
        </w:rPr>
      </w:pPr>
    </w:p>
    <w:p>
      <w:pPr>
        <w:ind w:right="20" w:firstLine="490"/>
        <w:spacing w:after="0" w:line="261" w:lineRule="auto"/>
        <w:rPr>
          <w:sz w:val="20"/>
          <w:szCs w:val="20"/>
          <w:color w:val="auto"/>
        </w:rPr>
      </w:pPr>
      <w:r>
        <w:rPr>
          <w:rFonts w:ascii="Arial" w:cs="Arial" w:eastAsia="Arial" w:hAnsi="Arial"/>
          <w:sz w:val="20"/>
          <w:szCs w:val="20"/>
          <w:color w:val="231F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80"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231F20"/>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of restricted stock units, or the perception that such sales may occur, could adversely affect the market price of our common stock.</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800"/>
          </w:cols>
          <w:pgMar w:left="540" w:top="750" w:right="540" w:bottom="0" w:gutter="0" w:footer="0" w:header="0"/>
          <w:type w:val="continuous"/>
        </w:sectPr>
      </w:pPr>
    </w:p>
    <w:bookmarkStart w:id="63" w:name="page64"/>
    <w:bookmarkEnd w:id="63"/>
    <w:p>
      <w:pPr>
        <w:ind w:right="20" w:firstLine="490"/>
        <w:spacing w:after="0" w:line="254" w:lineRule="auto"/>
        <w:rPr>
          <w:sz w:val="20"/>
          <w:szCs w:val="20"/>
          <w:color w:val="auto"/>
        </w:rPr>
      </w:pPr>
      <w:r>
        <w:rPr>
          <w:rFonts w:ascii="Arial" w:cs="Arial" w:eastAsia="Arial" w:hAnsi="Arial"/>
          <w:sz w:val="20"/>
          <w:szCs w:val="20"/>
          <w:color w:val="231F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86"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231F20"/>
        </w:rPr>
        <w:t>In addition, after our March 2026 Private Placement, there are pre-funded warrants currently exercisable for 8,741,473 shares of our common stock, 2,952,000 of which were outstanding and exercisable as of December 31, 2025. The exercise of these warrants will cause us to issue additional shares of our common stock, which will result in dilution to our stockholders, increase the number of shares of common stock eligible for resale in the public market, and could adversely affect the market price of our common stock.</w:t>
      </w:r>
    </w:p>
    <w:p>
      <w:pPr>
        <w:spacing w:after="0" w:line="316" w:lineRule="exact"/>
        <w:rPr>
          <w:sz w:val="20"/>
          <w:szCs w:val="20"/>
          <w:color w:val="auto"/>
        </w:rPr>
      </w:pPr>
    </w:p>
    <w:p>
      <w:pPr>
        <w:ind w:right="120"/>
        <w:spacing w:after="0" w:line="264" w:lineRule="auto"/>
        <w:rPr>
          <w:sz w:val="20"/>
          <w:szCs w:val="20"/>
          <w:color w:val="auto"/>
        </w:rPr>
      </w:pPr>
      <w:r>
        <w:rPr>
          <w:rFonts w:ascii="Arial" w:cs="Arial" w:eastAsia="Arial" w:hAnsi="Arial"/>
          <w:sz w:val="20"/>
          <w:szCs w:val="20"/>
          <w:b w:val="1"/>
          <w:bCs w:val="1"/>
          <w:i w:val="1"/>
          <w:iCs w:val="1"/>
          <w:color w:val="231F20"/>
        </w:rPr>
        <w:t>Provisions in our corporate charter documents and under Delaware law, and the adoption of a rights plan, could make an acquisition of our company, which may be beneficial to our stockholders, more difficult and may prevent attempts by our stockholders to replace or remove our current management.</w:t>
      </w:r>
    </w:p>
    <w:p>
      <w:pPr>
        <w:spacing w:after="0" w:line="47" w:lineRule="exact"/>
        <w:rPr>
          <w:sz w:val="20"/>
          <w:szCs w:val="20"/>
          <w:color w:val="auto"/>
        </w:rPr>
      </w:pPr>
    </w:p>
    <w:p>
      <w:pPr>
        <w:ind w:right="120" w:firstLine="490"/>
        <w:spacing w:after="0" w:line="246" w:lineRule="auto"/>
        <w:rPr>
          <w:sz w:val="20"/>
          <w:szCs w:val="20"/>
          <w:color w:val="auto"/>
        </w:rPr>
      </w:pPr>
      <w:r>
        <w:rPr>
          <w:rFonts w:ascii="Arial" w:cs="Arial" w:eastAsia="Arial" w:hAnsi="Arial"/>
          <w:sz w:val="20"/>
          <w:szCs w:val="20"/>
          <w:color w:val="231F20"/>
        </w:rPr>
        <w:t>Provisions in our amended and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w:t>
      </w:r>
    </w:p>
    <w:p>
      <w:pPr>
        <w:spacing w:after="0" w:line="88" w:lineRule="exact"/>
        <w:rPr>
          <w:sz w:val="20"/>
          <w:szCs w:val="20"/>
          <w:color w:val="auto"/>
        </w:rPr>
      </w:pPr>
    </w:p>
    <w:p>
      <w:pPr>
        <w:ind w:left="980" w:hanging="490"/>
        <w:spacing w:after="0"/>
        <w:tabs>
          <w:tab w:leader="none" w:pos="980" w:val="left"/>
        </w:tabs>
        <w:numPr>
          <w:ilvl w:val="0"/>
          <w:numId w:val="40"/>
        </w:numPr>
        <w:rPr>
          <w:rFonts w:ascii="Arial" w:cs="Arial" w:eastAsia="Arial" w:hAnsi="Arial"/>
          <w:sz w:val="20"/>
          <w:szCs w:val="20"/>
          <w:color w:val="231F20"/>
        </w:rPr>
      </w:pPr>
      <w:r>
        <w:rPr>
          <w:rFonts w:ascii="Arial" w:cs="Arial" w:eastAsia="Arial" w:hAnsi="Arial"/>
          <w:sz w:val="20"/>
          <w:szCs w:val="20"/>
          <w:color w:val="231F20"/>
        </w:rPr>
        <w:t>establish a classified board of directors such that not all members of the Board are elected at one time;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0"/>
        </w:numPr>
        <w:rPr>
          <w:rFonts w:ascii="Arial" w:cs="Arial" w:eastAsia="Arial" w:hAnsi="Arial"/>
          <w:sz w:val="20"/>
          <w:szCs w:val="20"/>
          <w:color w:val="231F20"/>
        </w:rPr>
      </w:pPr>
      <w:r>
        <w:rPr>
          <w:rFonts w:ascii="Arial" w:cs="Arial" w:eastAsia="Arial" w:hAnsi="Arial"/>
          <w:sz w:val="20"/>
          <w:szCs w:val="20"/>
          <w:color w:val="231F20"/>
        </w:rPr>
        <w:t>allow the authorized number of our directors to be changed only by resolution of our Board;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0"/>
        </w:numPr>
        <w:rPr>
          <w:rFonts w:ascii="Arial" w:cs="Arial" w:eastAsia="Arial" w:hAnsi="Arial"/>
          <w:sz w:val="20"/>
          <w:szCs w:val="20"/>
          <w:color w:val="231F20"/>
        </w:rPr>
      </w:pPr>
      <w:r>
        <w:rPr>
          <w:rFonts w:ascii="Arial" w:cs="Arial" w:eastAsia="Arial" w:hAnsi="Arial"/>
          <w:sz w:val="20"/>
          <w:szCs w:val="20"/>
          <w:color w:val="231F20"/>
        </w:rPr>
        <w:t>limit the manner in which stockholders can remove directors from the Board;</w:t>
      </w:r>
    </w:p>
    <w:p>
      <w:pPr>
        <w:spacing w:after="0" w:line="133" w:lineRule="exact"/>
        <w:rPr>
          <w:rFonts w:ascii="Arial" w:cs="Arial" w:eastAsia="Arial" w:hAnsi="Arial"/>
          <w:sz w:val="20"/>
          <w:szCs w:val="20"/>
          <w:color w:val="231F20"/>
        </w:rPr>
      </w:pPr>
    </w:p>
    <w:p>
      <w:pPr>
        <w:ind w:left="980" w:right="60" w:hanging="490"/>
        <w:spacing w:after="0" w:line="282" w:lineRule="auto"/>
        <w:tabs>
          <w:tab w:leader="none" w:pos="980" w:val="left"/>
        </w:tabs>
        <w:numPr>
          <w:ilvl w:val="0"/>
          <w:numId w:val="40"/>
        </w:numPr>
        <w:rPr>
          <w:rFonts w:ascii="Arial" w:cs="Arial" w:eastAsia="Arial" w:hAnsi="Arial"/>
          <w:sz w:val="20"/>
          <w:szCs w:val="20"/>
          <w:color w:val="231F20"/>
        </w:rPr>
      </w:pPr>
      <w:r>
        <w:rPr>
          <w:rFonts w:ascii="Arial" w:cs="Arial" w:eastAsia="Arial" w:hAnsi="Arial"/>
          <w:sz w:val="20"/>
          <w:szCs w:val="20"/>
          <w:color w:val="231F20"/>
        </w:rPr>
        <w:t>establish advance notice requirements for stockholder proposals that can be acted on at stockholder meetings and nominations to our Board;</w:t>
      </w:r>
    </w:p>
    <w:p>
      <w:pPr>
        <w:spacing w:after="0" w:line="53" w:lineRule="exact"/>
        <w:rPr>
          <w:rFonts w:ascii="Arial" w:cs="Arial" w:eastAsia="Arial" w:hAnsi="Arial"/>
          <w:sz w:val="20"/>
          <w:szCs w:val="20"/>
          <w:color w:val="231F20"/>
        </w:rPr>
      </w:pPr>
    </w:p>
    <w:p>
      <w:pPr>
        <w:ind w:left="980" w:right="200" w:hanging="490"/>
        <w:spacing w:after="0" w:line="282" w:lineRule="auto"/>
        <w:tabs>
          <w:tab w:leader="none" w:pos="980" w:val="left"/>
        </w:tabs>
        <w:numPr>
          <w:ilvl w:val="0"/>
          <w:numId w:val="40"/>
        </w:numPr>
        <w:rPr>
          <w:rFonts w:ascii="Arial" w:cs="Arial" w:eastAsia="Arial" w:hAnsi="Arial"/>
          <w:sz w:val="20"/>
          <w:szCs w:val="20"/>
          <w:color w:val="231F20"/>
        </w:rPr>
      </w:pPr>
      <w:r>
        <w:rPr>
          <w:rFonts w:ascii="Arial" w:cs="Arial" w:eastAsia="Arial" w:hAnsi="Arial"/>
          <w:sz w:val="20"/>
          <w:szCs w:val="20"/>
          <w:color w:val="231F20"/>
        </w:rPr>
        <w:t>require that stockholder actions must be effected at a duly called stockholder meeting and prohibit actions by our stockholders by written consent;</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40"/>
        </w:numPr>
        <w:rPr>
          <w:rFonts w:ascii="Arial" w:cs="Arial" w:eastAsia="Arial" w:hAnsi="Arial"/>
          <w:sz w:val="20"/>
          <w:szCs w:val="20"/>
          <w:color w:val="231F20"/>
        </w:rPr>
      </w:pPr>
      <w:r>
        <w:rPr>
          <w:rFonts w:ascii="Arial" w:cs="Arial" w:eastAsia="Arial" w:hAnsi="Arial"/>
          <w:sz w:val="20"/>
          <w:szCs w:val="20"/>
          <w:color w:val="231F20"/>
        </w:rPr>
        <w:t>limit who may call stockholder meetings;</w:t>
      </w:r>
    </w:p>
    <w:p>
      <w:pPr>
        <w:spacing w:after="0" w:line="133" w:lineRule="exact"/>
        <w:rPr>
          <w:rFonts w:ascii="Arial" w:cs="Arial" w:eastAsia="Arial" w:hAnsi="Arial"/>
          <w:sz w:val="20"/>
          <w:szCs w:val="20"/>
          <w:color w:val="231F20"/>
        </w:rPr>
      </w:pPr>
    </w:p>
    <w:p>
      <w:pPr>
        <w:jc w:val="both"/>
        <w:ind w:left="980" w:right="260" w:hanging="490"/>
        <w:spacing w:after="0" w:line="261" w:lineRule="auto"/>
        <w:tabs>
          <w:tab w:leader="none" w:pos="980" w:val="left"/>
        </w:tabs>
        <w:numPr>
          <w:ilvl w:val="0"/>
          <w:numId w:val="40"/>
        </w:numPr>
        <w:rPr>
          <w:rFonts w:ascii="Arial" w:cs="Arial" w:eastAsia="Arial" w:hAnsi="Arial"/>
          <w:sz w:val="20"/>
          <w:szCs w:val="20"/>
          <w:color w:val="231F20"/>
        </w:rPr>
      </w:pPr>
      <w:r>
        <w:rPr>
          <w:rFonts w:ascii="Arial" w:cs="Arial" w:eastAsia="Arial" w:hAnsi="Arial"/>
          <w:sz w:val="20"/>
          <w:szCs w:val="20"/>
          <w:color w:val="231F20"/>
        </w:rPr>
        <w:t>authorize our Board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and</w:t>
      </w:r>
    </w:p>
    <w:p>
      <w:pPr>
        <w:spacing w:after="0" w:line="73" w:lineRule="exact"/>
        <w:rPr>
          <w:rFonts w:ascii="Arial" w:cs="Arial" w:eastAsia="Arial" w:hAnsi="Arial"/>
          <w:sz w:val="20"/>
          <w:szCs w:val="20"/>
          <w:color w:val="231F20"/>
        </w:rPr>
      </w:pPr>
    </w:p>
    <w:p>
      <w:pPr>
        <w:ind w:left="980" w:hanging="490"/>
        <w:spacing w:after="0" w:line="282" w:lineRule="auto"/>
        <w:tabs>
          <w:tab w:leader="none" w:pos="980" w:val="left"/>
        </w:tabs>
        <w:numPr>
          <w:ilvl w:val="0"/>
          <w:numId w:val="40"/>
        </w:numPr>
        <w:rPr>
          <w:rFonts w:ascii="Arial" w:cs="Arial" w:eastAsia="Arial" w:hAnsi="Arial"/>
          <w:sz w:val="20"/>
          <w:szCs w:val="20"/>
          <w:color w:val="231F20"/>
        </w:rPr>
      </w:pPr>
      <w:r>
        <w:rPr>
          <w:rFonts w:ascii="Arial" w:cs="Arial" w:eastAsia="Arial" w:hAnsi="Arial"/>
          <w:sz w:val="20"/>
          <w:szCs w:val="20"/>
          <w:color w:val="231F20"/>
        </w:rPr>
        <w:t>require the approval of the holders of at least 66 2/3% of the votes that all our stockholders would be entitled to cast to amend or repeal certain provisions of our charter or bylaws.</w:t>
      </w:r>
    </w:p>
    <w:p>
      <w:pPr>
        <w:spacing w:after="0" w:line="160"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231F20"/>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more than 15%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780"/>
          </w:cols>
          <w:pgMar w:left="540" w:top="750" w:right="560" w:bottom="0" w:gutter="0" w:footer="0" w:header="0"/>
          <w:type w:val="continuous"/>
        </w:sectPr>
      </w:pPr>
    </w:p>
    <w:bookmarkStart w:id="64" w:name="page65"/>
    <w:bookmarkEnd w:id="64"/>
    <w:p>
      <w:pPr>
        <w:ind w:right="120"/>
        <w:spacing w:after="0" w:line="274" w:lineRule="auto"/>
        <w:rPr>
          <w:sz w:val="20"/>
          <w:szCs w:val="20"/>
          <w:color w:val="auto"/>
        </w:rPr>
      </w:pPr>
      <w:r>
        <w:rPr>
          <w:rFonts w:ascii="Arial" w:cs="Arial" w:eastAsia="Arial" w:hAnsi="Arial"/>
          <w:sz w:val="19"/>
          <w:szCs w:val="19"/>
          <w:b w:val="1"/>
          <w:bCs w:val="1"/>
          <w:i w:val="1"/>
          <w:iCs w:val="1"/>
          <w:color w:val="231F20"/>
        </w:rPr>
        <w:t>Our amended and restated certificate of incorporation provides that the Court of Chancery of the State of Delaware and the federal district courts of the U.S. will be the exclusive forums for substantially all disputes between us and our stockholders, including claims under the Securities Act, which could limit our stockholders’ ability to obtain a favorable judicial forum for disputes with us or our directors, officers or employees.</w:t>
      </w:r>
    </w:p>
    <w:p>
      <w:pPr>
        <w:spacing w:after="0" w:line="38" w:lineRule="exact"/>
        <w:rPr>
          <w:sz w:val="20"/>
          <w:szCs w:val="20"/>
          <w:color w:val="auto"/>
        </w:rPr>
      </w:pPr>
    </w:p>
    <w:p>
      <w:pPr>
        <w:ind w:right="160" w:firstLine="490"/>
        <w:spacing w:after="0" w:line="282" w:lineRule="auto"/>
        <w:rPr>
          <w:sz w:val="20"/>
          <w:szCs w:val="20"/>
          <w:color w:val="auto"/>
        </w:rPr>
      </w:pPr>
      <w:r>
        <w:rPr>
          <w:rFonts w:ascii="Arial" w:cs="Arial" w:eastAsia="Arial" w:hAnsi="Arial"/>
          <w:sz w:val="20"/>
          <w:szCs w:val="20"/>
          <w:color w:val="231F20"/>
        </w:rPr>
        <w:t>Our amended and restated certificate of incorporation provides that the Court of Chancery of the State of Delaware is the exclusive forum for:</w:t>
      </w:r>
    </w:p>
    <w:p>
      <w:pPr>
        <w:spacing w:after="0" w:line="53" w:lineRule="exact"/>
        <w:rPr>
          <w:sz w:val="20"/>
          <w:szCs w:val="20"/>
          <w:color w:val="auto"/>
        </w:rPr>
      </w:pPr>
    </w:p>
    <w:p>
      <w:pPr>
        <w:ind w:left="980" w:hanging="490"/>
        <w:spacing w:after="0"/>
        <w:tabs>
          <w:tab w:leader="none" w:pos="980" w:val="left"/>
        </w:tabs>
        <w:numPr>
          <w:ilvl w:val="0"/>
          <w:numId w:val="41"/>
        </w:numPr>
        <w:rPr>
          <w:rFonts w:ascii="Arial" w:cs="Arial" w:eastAsia="Arial" w:hAnsi="Arial"/>
          <w:sz w:val="20"/>
          <w:szCs w:val="20"/>
          <w:color w:val="231F20"/>
        </w:rPr>
      </w:pPr>
      <w:r>
        <w:rPr>
          <w:rFonts w:ascii="Arial" w:cs="Arial" w:eastAsia="Arial" w:hAnsi="Arial"/>
          <w:sz w:val="20"/>
          <w:szCs w:val="20"/>
          <w:color w:val="231F20"/>
        </w:rPr>
        <w:t>any derivative action or proceeding brought on our behalf;</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1"/>
        </w:numPr>
        <w:rPr>
          <w:rFonts w:ascii="Arial" w:cs="Arial" w:eastAsia="Arial" w:hAnsi="Arial"/>
          <w:sz w:val="20"/>
          <w:szCs w:val="20"/>
          <w:color w:val="231F20"/>
        </w:rPr>
      </w:pPr>
      <w:r>
        <w:rPr>
          <w:rFonts w:ascii="Arial" w:cs="Arial" w:eastAsia="Arial" w:hAnsi="Arial"/>
          <w:sz w:val="20"/>
          <w:szCs w:val="20"/>
          <w:color w:val="231F20"/>
        </w:rPr>
        <w:t>any action asserting a breach of fiduciary duty;</w:t>
      </w:r>
    </w:p>
    <w:p>
      <w:pPr>
        <w:spacing w:after="0" w:line="133" w:lineRule="exact"/>
        <w:rPr>
          <w:rFonts w:ascii="Arial" w:cs="Arial" w:eastAsia="Arial" w:hAnsi="Arial"/>
          <w:sz w:val="20"/>
          <w:szCs w:val="20"/>
          <w:color w:val="231F20"/>
        </w:rPr>
      </w:pPr>
    </w:p>
    <w:p>
      <w:pPr>
        <w:ind w:left="980" w:right="60" w:hanging="490"/>
        <w:spacing w:after="0" w:line="282" w:lineRule="auto"/>
        <w:tabs>
          <w:tab w:leader="none" w:pos="980" w:val="left"/>
        </w:tabs>
        <w:numPr>
          <w:ilvl w:val="0"/>
          <w:numId w:val="41"/>
        </w:numPr>
        <w:rPr>
          <w:rFonts w:ascii="Arial" w:cs="Arial" w:eastAsia="Arial" w:hAnsi="Arial"/>
          <w:sz w:val="20"/>
          <w:szCs w:val="20"/>
          <w:color w:val="231F20"/>
        </w:rPr>
      </w:pPr>
      <w:r>
        <w:rPr>
          <w:rFonts w:ascii="Arial" w:cs="Arial" w:eastAsia="Arial" w:hAnsi="Arial"/>
          <w:sz w:val="20"/>
          <w:szCs w:val="20"/>
          <w:color w:val="231F20"/>
        </w:rPr>
        <w:t>any action asserting a claim against us or any of our directors, officers, employees, or agents arising under the DGCL, our amended and restated certificate of incorporation, or our amended and restated bylaws;</w:t>
      </w:r>
    </w:p>
    <w:p>
      <w:pPr>
        <w:spacing w:after="0" w:line="53" w:lineRule="exact"/>
        <w:rPr>
          <w:rFonts w:ascii="Arial" w:cs="Arial" w:eastAsia="Arial" w:hAnsi="Arial"/>
          <w:sz w:val="20"/>
          <w:szCs w:val="20"/>
          <w:color w:val="231F20"/>
        </w:rPr>
      </w:pPr>
    </w:p>
    <w:p>
      <w:pPr>
        <w:ind w:left="980" w:right="400" w:hanging="490"/>
        <w:spacing w:after="0" w:line="282" w:lineRule="auto"/>
        <w:tabs>
          <w:tab w:leader="none" w:pos="980" w:val="left"/>
        </w:tabs>
        <w:numPr>
          <w:ilvl w:val="0"/>
          <w:numId w:val="41"/>
        </w:numPr>
        <w:rPr>
          <w:rFonts w:ascii="Arial" w:cs="Arial" w:eastAsia="Arial" w:hAnsi="Arial"/>
          <w:sz w:val="20"/>
          <w:szCs w:val="20"/>
          <w:color w:val="231F20"/>
        </w:rPr>
      </w:pPr>
      <w:r>
        <w:rPr>
          <w:rFonts w:ascii="Arial" w:cs="Arial" w:eastAsia="Arial" w:hAnsi="Arial"/>
          <w:sz w:val="20"/>
          <w:szCs w:val="20"/>
          <w:color w:val="231F20"/>
        </w:rPr>
        <w:t>any action or proceeding to interpret, apply, enforce, or determine the validity of our amended and restated certificate of incorporation, or our amended and restated bylaws; and</w:t>
      </w:r>
    </w:p>
    <w:p>
      <w:pPr>
        <w:spacing w:after="0" w:line="53" w:lineRule="exact"/>
        <w:rPr>
          <w:rFonts w:ascii="Arial" w:cs="Arial" w:eastAsia="Arial" w:hAnsi="Arial"/>
          <w:sz w:val="20"/>
          <w:szCs w:val="20"/>
          <w:color w:val="231F20"/>
        </w:rPr>
      </w:pPr>
    </w:p>
    <w:p>
      <w:pPr>
        <w:ind w:left="980" w:right="120" w:hanging="490"/>
        <w:spacing w:after="0" w:line="282" w:lineRule="auto"/>
        <w:tabs>
          <w:tab w:leader="none" w:pos="980" w:val="left"/>
        </w:tabs>
        <w:numPr>
          <w:ilvl w:val="0"/>
          <w:numId w:val="41"/>
        </w:numPr>
        <w:rPr>
          <w:rFonts w:ascii="Arial" w:cs="Arial" w:eastAsia="Arial" w:hAnsi="Arial"/>
          <w:sz w:val="20"/>
          <w:szCs w:val="20"/>
          <w:color w:val="231F20"/>
        </w:rPr>
      </w:pPr>
      <w:r>
        <w:rPr>
          <w:rFonts w:ascii="Arial" w:cs="Arial" w:eastAsia="Arial" w:hAnsi="Arial"/>
          <w:sz w:val="20"/>
          <w:szCs w:val="20"/>
          <w:color w:val="231F20"/>
        </w:rPr>
        <w:t>any action asserting a claim against us or any of our directors, officers, employees, or agents that is governed by the internal-affairs doctrine.</w:t>
      </w:r>
    </w:p>
    <w:p>
      <w:pPr>
        <w:spacing w:after="0" w:line="160"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231F20"/>
        </w:rPr>
        <w:t>Furthermore, our amended and restated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However, these provisions would not apply to suits brought to enforce a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To the extent the exclusive forum provision restricts the courts in which claims arising under the Securities Act may be brought, there is uncertainty as to whether a court would enforce such a provision. We note that investors cannot waive compliance with the federal securities laws and the rules and regulations thereunder.</w:t>
      </w:r>
    </w:p>
    <w:p>
      <w:pPr>
        <w:spacing w:after="0" w:line="197" w:lineRule="exact"/>
        <w:rPr>
          <w:sz w:val="20"/>
          <w:szCs w:val="20"/>
          <w:color w:val="auto"/>
        </w:rPr>
      </w:pPr>
    </w:p>
    <w:p>
      <w:pPr>
        <w:ind w:right="180" w:firstLine="490"/>
        <w:spacing w:after="0" w:line="245" w:lineRule="auto"/>
        <w:rPr>
          <w:sz w:val="20"/>
          <w:szCs w:val="20"/>
          <w:color w:val="auto"/>
        </w:rPr>
      </w:pPr>
      <w:r>
        <w:rPr>
          <w:rFonts w:ascii="Arial" w:cs="Arial" w:eastAsia="Arial" w:hAnsi="Arial"/>
          <w:sz w:val="20"/>
          <w:szCs w:val="20"/>
          <w:color w:val="231F20"/>
        </w:rPr>
        <w:t>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and growth prospects.</w:t>
      </w:r>
    </w:p>
    <w:p>
      <w:pPr>
        <w:spacing w:after="0" w:line="321" w:lineRule="exact"/>
        <w:rPr>
          <w:sz w:val="20"/>
          <w:szCs w:val="20"/>
          <w:color w:val="auto"/>
        </w:rPr>
      </w:pPr>
    </w:p>
    <w:p>
      <w:pPr>
        <w:ind w:right="260"/>
        <w:spacing w:after="0" w:line="289" w:lineRule="auto"/>
        <w:rPr>
          <w:sz w:val="20"/>
          <w:szCs w:val="20"/>
          <w:color w:val="auto"/>
        </w:rPr>
      </w:pPr>
      <w:r>
        <w:rPr>
          <w:rFonts w:ascii="Arial" w:cs="Arial" w:eastAsia="Arial" w:hAnsi="Arial"/>
          <w:sz w:val="20"/>
          <w:szCs w:val="20"/>
          <w:b w:val="1"/>
          <w:bCs w:val="1"/>
          <w:i w:val="1"/>
          <w:iCs w:val="1"/>
          <w:color w:val="231F20"/>
        </w:rPr>
        <w:t>We will have broad discretion in the use of our cash, and may invest or spend our cash in ways with which you do not agree and in ways that may not increase the value of your investment.</w:t>
      </w:r>
    </w:p>
    <w:p>
      <w:pPr>
        <w:spacing w:after="0" w:line="22" w:lineRule="exact"/>
        <w:rPr>
          <w:sz w:val="20"/>
          <w:szCs w:val="20"/>
          <w:color w:val="auto"/>
        </w:rPr>
      </w:pPr>
    </w:p>
    <w:p>
      <w:pPr>
        <w:ind w:right="60" w:firstLine="490"/>
        <w:spacing w:after="0" w:line="250" w:lineRule="auto"/>
        <w:rPr>
          <w:sz w:val="20"/>
          <w:szCs w:val="20"/>
          <w:color w:val="auto"/>
        </w:rPr>
      </w:pPr>
      <w:r>
        <w:rPr>
          <w:rFonts w:ascii="Arial" w:cs="Arial" w:eastAsia="Arial" w:hAnsi="Arial"/>
          <w:sz w:val="20"/>
          <w:szCs w:val="20"/>
          <w:color w:val="231F20"/>
        </w:rPr>
        <w:t>Our management will have broad discretion in the application of our cash, and could spend our cash in ways that do not improve our results of operations or enhance the value of our common stock. The failure by our management to apply these funds effectively could result in financial losses that could have a negative impact on our business, cause the price of our common stock to decline, and delay the development of our pipeline programs as well as commercial preparedness.</w:t>
      </w:r>
    </w:p>
    <w:p>
      <w:pPr>
        <w:spacing w:after="0" w:line="316" w:lineRule="exact"/>
        <w:rPr>
          <w:sz w:val="20"/>
          <w:szCs w:val="20"/>
          <w:color w:val="auto"/>
        </w:rPr>
      </w:pPr>
    </w:p>
    <w:p>
      <w:pPr>
        <w:ind w:right="220"/>
        <w:spacing w:after="0" w:line="289" w:lineRule="auto"/>
        <w:rPr>
          <w:sz w:val="20"/>
          <w:szCs w:val="20"/>
          <w:color w:val="auto"/>
        </w:rPr>
      </w:pPr>
      <w:r>
        <w:rPr>
          <w:rFonts w:ascii="Arial" w:cs="Arial" w:eastAsia="Arial" w:hAnsi="Arial"/>
          <w:sz w:val="20"/>
          <w:szCs w:val="20"/>
          <w:b w:val="1"/>
          <w:bCs w:val="1"/>
          <w:i w:val="1"/>
          <w:iCs w:val="1"/>
          <w:color w:val="231F20"/>
        </w:rPr>
        <w:t>We do not anticipate paying any cash dividends on our capital stock in the foreseeable future, and accordingly, stockholders must rely on capital appreciation, if any, for any return on their investment.</w:t>
      </w:r>
    </w:p>
    <w:p>
      <w:pPr>
        <w:spacing w:after="0" w:line="22"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231F20"/>
        </w:rPr>
        <w:t>We do not anticipate paying any cash dividends on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If we do not pay cash dividends, you could receive a return on your investment in our common stock only if you are able to sell your shares in the future and the market price of our common stock has increased when you sell your shares. As a result, investors seeking cash dividends should not purchase our common stock.</w:t>
      </w:r>
    </w:p>
    <w:p>
      <w:pPr>
        <w:sectPr>
          <w:pgSz w:w="11880" w:h="15480" w:orient="portrait"/>
          <w:cols w:equalWidth="0" w:num="1">
            <w:col w:w="10800"/>
          </w:cols>
          <w:pgMar w:left="540" w:top="75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800"/>
          </w:cols>
          <w:pgMar w:left="540" w:top="754" w:right="54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i w:val="1"/>
          <w:iCs w:val="1"/>
          <w:color w:val="231F20"/>
        </w:rPr>
        <w:t>Our ability to use our net operating loss carryforwards and certain other tax attributes may be limited.</w:t>
      </w:r>
    </w:p>
    <w:p>
      <w:pPr>
        <w:spacing w:after="0" w:line="116"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Under the Tax Cuts and Jobs Act of 2017 (the “TCJA”), as modified by the Coronavirus Aid, Relief, and Economic Security Act (the “CARES Act”), our net operating losses (“NOLs”) generated in tax years beginning after December 31, 2017 may be carried forward indefinitely, but the deductibility of such federal NOLs in tax years beginning after December 31, 2020, is limited to 80% of taxable income. There is variation in how states have responded and may continue to respond to the TCJA or the CARES Act. In addition, under Sections 382 and 383 of the U.S.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and may experience ownership changes in the future.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General Risk Factors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The trading price of our common stock has been and may continue to be volatile.</w:t>
      </w:r>
    </w:p>
    <w:p>
      <w:pPr>
        <w:spacing w:after="0" w:line="116"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231F20"/>
        </w:rPr>
        <w:t>The trading price of our common stock has been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shares at or above the price paid for the shares. In addition to the factors discussed in this “Risk Factors” section and elsewhere in this Form 10-K, these factors include:</w:t>
      </w:r>
    </w:p>
    <w:p>
      <w:pPr>
        <w:spacing w:after="0" w:line="88" w:lineRule="exact"/>
        <w:rPr>
          <w:sz w:val="20"/>
          <w:szCs w:val="20"/>
          <w:color w:val="auto"/>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the commencement, enrollment or results of our planned and future clinical trials;</w:t>
      </w:r>
    </w:p>
    <w:p>
      <w:pPr>
        <w:spacing w:after="0" w:line="133" w:lineRule="exact"/>
        <w:rPr>
          <w:rFonts w:ascii="Arial" w:cs="Arial" w:eastAsia="Arial" w:hAnsi="Arial"/>
          <w:sz w:val="20"/>
          <w:szCs w:val="20"/>
          <w:color w:val="231F20"/>
        </w:rPr>
      </w:pPr>
    </w:p>
    <w:p>
      <w:pPr>
        <w:ind w:left="980" w:right="1280" w:hanging="490"/>
        <w:spacing w:after="0" w:line="282" w:lineRule="auto"/>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the sufficiency of our existing cash to fund our future operating expenses and capital expenditure requirements;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the results of our nonclinical testing and clinical trials;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unanticipated safety, tolerability or efficacy concerns;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the loss of any of our key research, development or management personnel;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regulatory or legal developments in the U.S. and other countries;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the success of competitive products or technologies;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adverse actions taken by regulatory agencies with respect to our clinical trials or manufacturers;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changes or developments in laws or regulations applicable to our product candidates;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changes to our relationships with collaborators, manufacturers, or suppliers;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announcements concerning our competitors or the pharmaceutical industry in general;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actual or anticipated fluctuations in our operating results;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changes in financial estimates or recommendations by securities analysts;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potential acquisitions;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the results of our efforts to discover, develop, acquire, or in-license additional product candidates;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the trading volume of our common stock on the Nasdaq Global Select Market;</w:t>
      </w:r>
    </w:p>
    <w:p>
      <w:pPr>
        <w:spacing w:after="0" w:line="133" w:lineRule="exact"/>
        <w:rPr>
          <w:rFonts w:ascii="Arial" w:cs="Arial" w:eastAsia="Arial" w:hAnsi="Arial"/>
          <w:sz w:val="20"/>
          <w:szCs w:val="20"/>
          <w:color w:val="231F20"/>
        </w:rPr>
      </w:pPr>
    </w:p>
    <w:p>
      <w:pPr>
        <w:ind w:left="980" w:right="300" w:hanging="490"/>
        <w:spacing w:after="0" w:line="282" w:lineRule="auto"/>
        <w:tabs>
          <w:tab w:leader="none" w:pos="980" w:val="left"/>
        </w:tabs>
        <w:numPr>
          <w:ilvl w:val="0"/>
          <w:numId w:val="42"/>
        </w:numPr>
        <w:rPr>
          <w:rFonts w:ascii="Arial" w:cs="Arial" w:eastAsia="Arial" w:hAnsi="Arial"/>
          <w:sz w:val="20"/>
          <w:szCs w:val="20"/>
          <w:color w:val="231F20"/>
        </w:rPr>
      </w:pPr>
      <w:r>
        <w:rPr>
          <w:rFonts w:ascii="Arial" w:cs="Arial" w:eastAsia="Arial" w:hAnsi="Arial"/>
          <w:sz w:val="20"/>
          <w:szCs w:val="20"/>
          <w:color w:val="231F20"/>
        </w:rPr>
        <w:t>sales of our common stock by us, our executive officers and directors or our stockholders or the anticipation that such sales may occur in the future;</w:t>
      </w:r>
    </w:p>
    <w:p>
      <w:pPr>
        <w:spacing w:after="0" w:line="53" w:lineRule="exact"/>
        <w:rPr>
          <w:rFonts w:ascii="Arial" w:cs="Arial" w:eastAsia="Arial" w:hAnsi="Arial"/>
          <w:sz w:val="20"/>
          <w:szCs w:val="20"/>
          <w:color w:val="231F20"/>
        </w:rPr>
      </w:pPr>
    </w:p>
    <w:p>
      <w:pPr>
        <w:jc w:val="both"/>
        <w:ind w:left="980" w:right="620" w:hanging="490"/>
        <w:spacing w:after="0" w:line="281" w:lineRule="auto"/>
        <w:tabs>
          <w:tab w:leader="none" w:pos="980" w:val="left"/>
        </w:tabs>
        <w:numPr>
          <w:ilvl w:val="0"/>
          <w:numId w:val="42"/>
        </w:numPr>
        <w:rPr>
          <w:rFonts w:ascii="Arial" w:cs="Arial" w:eastAsia="Arial" w:hAnsi="Arial"/>
          <w:sz w:val="19"/>
          <w:szCs w:val="19"/>
          <w:color w:val="231F20"/>
        </w:rPr>
      </w:pPr>
      <w:r>
        <w:rPr>
          <w:rFonts w:ascii="Arial" w:cs="Arial" w:eastAsia="Arial" w:hAnsi="Arial"/>
          <w:sz w:val="19"/>
          <w:szCs w:val="19"/>
          <w:color w:val="231F20"/>
        </w:rPr>
        <w:t>general economic, political, market, and industry conditions, including economic slowdowns, recessions, inflationary pressures, rising interest rates, tariffs, trade wars, and reduced credit availability, and overall fluctuations in the financial markets in the U.S. or other countries where we conduct critical business;</w:t>
      </w:r>
    </w:p>
    <w:p>
      <w:pPr>
        <w:sectPr>
          <w:pgSz w:w="11880" w:h="15480" w:orient="portrait"/>
          <w:cols w:equalWidth="0" w:num="1">
            <w:col w:w="10800"/>
          </w:cols>
          <w:pgMar w:left="540" w:top="75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800"/>
          </w:cols>
          <w:pgMar w:left="540" w:top="754" w:right="540" w:bottom="0" w:gutter="0" w:footer="0" w:header="0"/>
          <w:type w:val="continuous"/>
        </w:sectPr>
      </w:pPr>
    </w:p>
    <w:bookmarkStart w:id="66" w:name="page67"/>
    <w:bookmarkEnd w:id="66"/>
    <w:p>
      <w:pPr>
        <w:ind w:left="980" w:right="200" w:hanging="490"/>
        <w:spacing w:after="0" w:line="282" w:lineRule="auto"/>
        <w:tabs>
          <w:tab w:leader="none" w:pos="980" w:val="left"/>
        </w:tabs>
        <w:numPr>
          <w:ilvl w:val="0"/>
          <w:numId w:val="43"/>
        </w:numPr>
        <w:rPr>
          <w:rFonts w:ascii="Arial" w:cs="Arial" w:eastAsia="Arial" w:hAnsi="Arial"/>
          <w:sz w:val="20"/>
          <w:szCs w:val="20"/>
          <w:color w:val="231F20"/>
        </w:rPr>
      </w:pPr>
      <w:r>
        <w:rPr>
          <w:rFonts w:ascii="Arial" w:cs="Arial" w:eastAsia="Arial" w:hAnsi="Arial"/>
          <w:sz w:val="20"/>
          <w:szCs w:val="20"/>
          <w:color w:val="231F20"/>
        </w:rPr>
        <w:t>stock market price and volume fluctuations of comparable companies and, in particular, those that operate in the biopharmaceutical industry;</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43"/>
        </w:numPr>
        <w:rPr>
          <w:rFonts w:ascii="Arial" w:cs="Arial" w:eastAsia="Arial" w:hAnsi="Arial"/>
          <w:sz w:val="20"/>
          <w:szCs w:val="20"/>
          <w:color w:val="231F20"/>
        </w:rPr>
      </w:pPr>
      <w:r>
        <w:rPr>
          <w:rFonts w:ascii="Arial" w:cs="Arial" w:eastAsia="Arial" w:hAnsi="Arial"/>
          <w:sz w:val="20"/>
          <w:szCs w:val="20"/>
          <w:color w:val="231F20"/>
        </w:rPr>
        <w:t>banking crises or failures;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3"/>
        </w:numPr>
        <w:rPr>
          <w:rFonts w:ascii="Arial" w:cs="Arial" w:eastAsia="Arial" w:hAnsi="Arial"/>
          <w:sz w:val="20"/>
          <w:szCs w:val="20"/>
          <w:color w:val="231F20"/>
        </w:rPr>
      </w:pPr>
      <w:r>
        <w:rPr>
          <w:rFonts w:ascii="Arial" w:cs="Arial" w:eastAsia="Arial" w:hAnsi="Arial"/>
          <w:sz w:val="20"/>
          <w:szCs w:val="20"/>
          <w:color w:val="231F20"/>
        </w:rPr>
        <w:t>investors’ general perception of us and our business.</w:t>
      </w:r>
    </w:p>
    <w:p>
      <w:pPr>
        <w:spacing w:after="0" w:line="240" w:lineRule="exact"/>
        <w:rPr>
          <w:sz w:val="20"/>
          <w:szCs w:val="20"/>
          <w:color w:val="auto"/>
        </w:rPr>
      </w:pPr>
    </w:p>
    <w:p>
      <w:pPr>
        <w:ind w:right="240" w:firstLine="490"/>
        <w:spacing w:after="0" w:line="248" w:lineRule="auto"/>
        <w:rPr>
          <w:sz w:val="20"/>
          <w:szCs w:val="20"/>
          <w:color w:val="auto"/>
        </w:rPr>
      </w:pPr>
      <w:r>
        <w:rPr>
          <w:rFonts w:ascii="Arial" w:cs="Arial" w:eastAsia="Arial" w:hAnsi="Arial"/>
          <w:sz w:val="20"/>
          <w:szCs w:val="20"/>
          <w:color w:val="231F20"/>
        </w:rPr>
        <w:t>These and other market and industry factors may cause the market price and demand for our common stock to fluctuate substantially, regardless of our actual operating performance, which may limit or prevent investors from selling their shares of our common stock at or above the price paid for the shares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94"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231F20"/>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318"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b w:val="1"/>
          <w:bCs w:val="1"/>
          <w:i w:val="1"/>
          <w:iCs w:val="1"/>
          <w:color w:val="231F20"/>
        </w:rPr>
        <w:t>If equity research analysts do not publish research or reports, or publish unfavorable research or reports, about us, our business, or our market, our stock price and trading volume could decline.</w:t>
      </w:r>
    </w:p>
    <w:p>
      <w:pPr>
        <w:spacing w:after="0" w:line="22"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231F20"/>
        </w:rPr>
        <w:t>The trading market for our common stock will be influenced by the research and reports that equity research analysts publish about us and our business. We currently have research coverage by a limited number of equity research analysts. Equity research analysts may elect not to continue to provide research coverage of our common stock, and such lack of research coverage may adversely affect the market price of our common stock.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stock to decline.</w:t>
      </w:r>
    </w:p>
    <w:p>
      <w:pPr>
        <w:spacing w:after="0" w:line="318" w:lineRule="exact"/>
        <w:rPr>
          <w:sz w:val="20"/>
          <w:szCs w:val="20"/>
          <w:color w:val="auto"/>
        </w:rPr>
      </w:pPr>
    </w:p>
    <w:p>
      <w:pPr>
        <w:ind w:right="420"/>
        <w:spacing w:after="0" w:line="316" w:lineRule="auto"/>
        <w:rPr>
          <w:sz w:val="20"/>
          <w:szCs w:val="20"/>
          <w:color w:val="auto"/>
        </w:rPr>
      </w:pPr>
      <w:r>
        <w:rPr>
          <w:rFonts w:ascii="Arial" w:cs="Arial" w:eastAsia="Arial" w:hAnsi="Arial"/>
          <w:sz w:val="19"/>
          <w:szCs w:val="19"/>
          <w:b w:val="1"/>
          <w:bCs w:val="1"/>
          <w:i w:val="1"/>
          <w:iCs w:val="1"/>
          <w:color w:val="231F20"/>
        </w:rPr>
        <w:t>We are incurring significantly increased costs as a result of operating as a company whose common stock is publicly traded in the U.S., and our management is devoting substantial time to new compliance initiatives.</w:t>
      </w:r>
    </w:p>
    <w:p>
      <w:pPr>
        <w:spacing w:after="0" w:line="1" w:lineRule="exact"/>
        <w:rPr>
          <w:sz w:val="20"/>
          <w:szCs w:val="20"/>
          <w:color w:val="auto"/>
        </w:rPr>
      </w:pPr>
    </w:p>
    <w:p>
      <w:pPr>
        <w:ind w:right="120" w:firstLine="490"/>
        <w:spacing w:after="0" w:line="245" w:lineRule="auto"/>
        <w:rPr>
          <w:sz w:val="20"/>
          <w:szCs w:val="20"/>
          <w:color w:val="auto"/>
        </w:rPr>
      </w:pPr>
      <w:r>
        <w:rPr>
          <w:rFonts w:ascii="Arial" w:cs="Arial" w:eastAsia="Arial" w:hAnsi="Arial"/>
          <w:sz w:val="20"/>
          <w:szCs w:val="20"/>
          <w:color w:val="231F20"/>
        </w:rPr>
        <w:t>As a public company in the U.S., we are incurring significant legal, accounting, and other expenses. These expenses will likely be even more significant after we no longer qualify as an emerging growth company. The Sarbanes-Oxley Act, the Dodd-Frank Wall Street Reform and Consumer Protection Act, the listing requirements of Nasdaq Global Select Market and other applicable securities rules and regulations impose various requirements on public companies in the U.S., including the establishment and maintenance of effective disclosure and financial controls and corporate governance practices. Our senior management and other personnel devote a substantial amount of time to these compliance initiatives. Moreover, these rules and regulations has increased our legal and financial compliance costs and has made some activities more time-consuming and costly. We cannot predict or estimate the amount of additional costs we will incur or the timing of such costs.</w:t>
      </w:r>
    </w:p>
    <w:p>
      <w:pPr>
        <w:spacing w:after="0" w:line="197"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231F20"/>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ectPr>
          <w:pgSz w:w="11880" w:h="15480" w:orient="portrait"/>
          <w:cols w:equalWidth="0" w:num="1">
            <w:col w:w="10780"/>
          </w:cols>
          <w:pgMar w:left="540" w:top="76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780"/>
          </w:cols>
          <w:pgMar w:left="540" w:top="764" w:right="560" w:bottom="0" w:gutter="0" w:footer="0" w:header="0"/>
          <w:type w:val="continuous"/>
        </w:sectPr>
      </w:pPr>
    </w:p>
    <w:bookmarkStart w:id="67" w:name="page68"/>
    <w:bookmarkEnd w:id="67"/>
    <w:p>
      <w:pPr>
        <w:ind w:firstLine="490"/>
        <w:spacing w:after="0" w:line="255" w:lineRule="auto"/>
        <w:rPr>
          <w:sz w:val="20"/>
          <w:szCs w:val="20"/>
          <w:color w:val="auto"/>
        </w:rPr>
      </w:pPr>
      <w:r>
        <w:rPr>
          <w:rFonts w:ascii="Arial" w:cs="Arial" w:eastAsia="Arial" w:hAnsi="Arial"/>
          <w:sz w:val="19"/>
          <w:szCs w:val="19"/>
          <w:color w:val="231F20"/>
        </w:rPr>
        <w:t>Pursuant to Section 404, we will be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prepare for eventual compliance with Section 404,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w:t>
      </w:r>
    </w:p>
    <w:p>
      <w:pPr>
        <w:spacing w:after="0" w:line="5" w:lineRule="exact"/>
        <w:rPr>
          <w:sz w:val="20"/>
          <w:szCs w:val="20"/>
          <w:color w:val="auto"/>
        </w:rPr>
      </w:pPr>
    </w:p>
    <w:p>
      <w:pPr>
        <w:ind w:right="860"/>
        <w:spacing w:after="0" w:line="255" w:lineRule="auto"/>
        <w:tabs>
          <w:tab w:leader="none" w:pos="445" w:val="left"/>
        </w:tabs>
        <w:numPr>
          <w:ilvl w:val="0"/>
          <w:numId w:val="44"/>
        </w:numPr>
        <w:rPr>
          <w:rFonts w:ascii="Arial" w:cs="Arial" w:eastAsia="Arial" w:hAnsi="Arial"/>
          <w:sz w:val="20"/>
          <w:szCs w:val="20"/>
          <w:color w:val="231F20"/>
        </w:rPr>
      </w:pPr>
      <w:r>
        <w:rPr>
          <w:rFonts w:ascii="Arial" w:cs="Arial" w:eastAsia="Arial" w:hAnsi="Arial"/>
          <w:sz w:val="20"/>
          <w:szCs w:val="20"/>
          <w:color w:val="231F20"/>
        </w:rPr>
        <w:t>Identifying material weaknesses could result in an adverse reaction in the financial markets due to a loss of confidence in the reliability of our financial statements.</w:t>
      </w:r>
    </w:p>
    <w:p>
      <w:pPr>
        <w:spacing w:after="0" w:line="309" w:lineRule="exact"/>
        <w:rPr>
          <w:sz w:val="20"/>
          <w:szCs w:val="20"/>
          <w:color w:val="auto"/>
        </w:rPr>
      </w:pPr>
    </w:p>
    <w:p>
      <w:pPr>
        <w:ind w:right="180"/>
        <w:spacing w:after="0" w:line="289" w:lineRule="auto"/>
        <w:rPr>
          <w:sz w:val="20"/>
          <w:szCs w:val="20"/>
          <w:color w:val="auto"/>
        </w:rPr>
      </w:pPr>
      <w:r>
        <w:rPr>
          <w:rFonts w:ascii="Arial" w:cs="Arial" w:eastAsia="Arial" w:hAnsi="Arial"/>
          <w:sz w:val="20"/>
          <w:szCs w:val="20"/>
          <w:b w:val="1"/>
          <w:bCs w:val="1"/>
          <w:i w:val="1"/>
          <w:iCs w:val="1"/>
          <w:color w:val="231F20"/>
        </w:rPr>
        <w:t>Significant disruptions of our or our vendors’ information technology systems or cybersecurity incidents could result in significant financial, legal, regulatory, business, and reputational harm to us.</w:t>
      </w:r>
    </w:p>
    <w:p>
      <w:pPr>
        <w:spacing w:after="0" w:line="22" w:lineRule="exact"/>
        <w:rPr>
          <w:sz w:val="20"/>
          <w:szCs w:val="20"/>
          <w:color w:val="auto"/>
        </w:rPr>
      </w:pPr>
    </w:p>
    <w:p>
      <w:pPr>
        <w:ind w:firstLine="490"/>
        <w:spacing w:after="0" w:line="241" w:lineRule="auto"/>
        <w:rPr>
          <w:sz w:val="20"/>
          <w:szCs w:val="20"/>
          <w:color w:val="auto"/>
        </w:rPr>
      </w:pPr>
      <w:r>
        <w:rPr>
          <w:rFonts w:ascii="Arial" w:cs="Arial" w:eastAsia="Arial" w:hAnsi="Arial"/>
          <w:sz w:val="20"/>
          <w:szCs w:val="20"/>
          <w:color w:val="231F20"/>
        </w:rPr>
        <w:t>We are increasingly dependent on information technology systems and infrastructure, including mobile technologies, to operate our business. In the ordinary course of our business, we collect, store, process, and transmit large amounts of confidential information, including intellectual property, proprietary business information, personal information (including health information), and other confidential information. It is critical that we do so in a secure manner to maintain the confidentiality, integrity, and restricted availability of such information. We have also outsourced elements of our operations, including elements of our information technology infrastructure and data processing, to third parties and, as a result, we manage a number of third-party vendors who have access to our computer networks or our information. In addition, many of those third parties in turn subcontract or outsource some of their responsibilities to other third parties. While all information technology operations are inherently vulnerable to inadvertent or intentional security breaches, incidents, attacks, and exposures, the accessibility and distributed nature of our information technology systems, and the information stored on those systems, make such systems (and the information stored therein) vulnerable to risks that threaten the confidentiality, integrity and availability of these systems and information, including unintentional or malicious, internal, and external attacks on our technology environment. Vulnerabilities can be exploited by diverse threat actors and attack vectors, including through inadvertent or intentional actions of our employees, third-party vendors, business partners, or by malicious third parties. Cybersecurity incidents are increasing in their frequency, levels of persistence, sophistication, and intensity, and are being conducted by sophisticated and organized groups and individuals with a wide range of motives (including industrial espionage) and expertise, including organized criminal groups, “hacktivists,” nation states, and others, and utilizing increasingly sophisticated techniques and tools – including AI – that circumvent security controls, evade detection and remove or obfuscate forensic evidence. In addition to access to, loss of or the extraction of information, such attacks could involve the deployment of harmful malware, ransomware, denial-of-service attacks, social engineering/phishing, malicious code embedded in software, and other means to affect service reliability and threaten the confidentiality, integrity, and availability of information technology systems or information. In addition, the prevalent use of mobile devices increases the risk of cybersecurity incidents.</w:t>
      </w:r>
    </w:p>
    <w:p>
      <w:pPr>
        <w:spacing w:after="0" w:line="218"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Significant disruptions of our or our third-party vendors’ or business partners’ information technology systems or other similar cybersecurity incidents could adversely affect our business operations and result in the loss, misappropriation, and unauthorized access, use or disclosure of, or the prevention of access to, information, which could result in financial, legal, regulatory, business, and reputational harm to us. In addition, any impact to the confidentiality, integrity or availability of information technology systems and the information stored therein, whether from attacks on our or third-party technology environment or from computer viruses, natural disasters, terrorism, war, telecommunication and electrical failures, or other threats, could result in a material disruption of our development programs and our business operations. For example, the loss of clinical trial data from ongoing, completed or future clinical trials could result in delays in our regulatory approval efforts and significantly increase our costs to recover or reproduce the data. We cannot ensure that our cybersecurity and data protection efforts and our investment in information technology, or the efforts or investments of CROs, consultants or other third parties with which we work, will prevent breakdowns or breaches in our or their systems or other cybersecurity incidents, including those that cause loss, destruction, unavailability, alteration, dissemination of, or damage, or unauthorized access to, or processing of, our data, including personal information, assets, and other data processed or maintained on our behalf, that could have a material adverse effect upon our reputation, business, financial condition, results of operations and growth prospects.</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760"/>
          </w:cols>
          <w:pgMar w:left="540" w:top="750" w:right="580" w:bottom="0" w:gutter="0" w:footer="0" w:header="0"/>
          <w:type w:val="continuous"/>
        </w:sectPr>
      </w:pPr>
    </w:p>
    <w:bookmarkStart w:id="68" w:name="page69"/>
    <w:bookmarkEnd w:id="68"/>
    <w:p>
      <w:pPr>
        <w:ind w:right="20" w:firstLine="490"/>
        <w:spacing w:after="0" w:line="254" w:lineRule="auto"/>
        <w:rPr>
          <w:sz w:val="20"/>
          <w:szCs w:val="20"/>
          <w:color w:val="auto"/>
        </w:rPr>
      </w:pPr>
      <w:r>
        <w:rPr>
          <w:rFonts w:ascii="Arial" w:cs="Arial" w:eastAsia="Arial" w:hAnsi="Arial"/>
          <w:sz w:val="19"/>
          <w:szCs w:val="19"/>
          <w:color w:val="231F20"/>
        </w:rPr>
        <w:t>While we have implemented security measures intended to protect our information technology systems and infrastructure, there can be no assurance that such measures will successfully prevent service interruptions or cybersecurity incidents or that our security measures and processes will be fully implemented, complied with or effective. Nor can we be certain that our third-party vendors or business partners have sufficient measures or processes in place to protect their information technology systems and infrastructure. We, our third-party vendors and business partners are, from time to time, subject to attacks and cybersecurity incidents. While we have not to our knowledge experienced an incident that has had a material impact on our operations or financial results, there is no way of knowing with certainty whether we have experienced any material cybersecurity incidents that have not been discovered. While we have no reason to believe this to be the case, attackers have become very sophisticated in the way they conceal access to systems, and many companies that have been attacked are not aware that their systems or information have been compromised. Any event that leads to unauthorized access, use, or disclosure of information, including personal information regarding our patients or employees, or other adverse impact to the availability, integrity or confidentiality of our information technology systems, infrastructure or information, could disrupt our business, harm our reputation, compel us to comply with applicable federal and state breach notification laws and foreign law and contractual equivalents, subject us to time-consuming, distracting, and expensive litigation (including class actions),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It could also result in increased costs to us, including costs to investigate, mitigate and remediate vulnerabilities and incidents, and result in significant legal and financial exposure and reputational harm. In addition, any failure or perceived failure by us or our vendors or business partners to comply with our privacy, confidentiality, or data security-related legal or other obligations to third parties, or any further cybersecurity incidents,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Moreover, cybersecurity incidents and other inappropriate access can be difficult to detect, and any delay in identifying them may lead to increased harm of the type described above. Finally, we cannot guarantee that any costs and liabilities incurred in relation to an incident will be covered by our existing insurance policies or that applicable insurance will be available to us in the future on economically reasonable terms or at all. Any of the foregoing could have a material adverse effect on our reputation, business, financial condition, results of operations and growth prospects.</w:t>
      </w:r>
    </w:p>
    <w:p>
      <w:pPr>
        <w:spacing w:after="0" w:line="200" w:lineRule="exact"/>
        <w:rPr>
          <w:sz w:val="20"/>
          <w:szCs w:val="20"/>
          <w:color w:val="auto"/>
        </w:rPr>
      </w:pPr>
    </w:p>
    <w:p>
      <w:pPr>
        <w:spacing w:after="0" w:line="360"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22"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not being required to comply with the auditor requirements to communicate critical audit matters in the auditor’s report on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taken advantage of reduced reporting burdens in our Annual Reports on Form 10-K and our Quarterly Reports on Form 10-Q. In particular, in our Annual Reports on Form 10-K, we have provided only two comparative periods of audited financial statements. We also have not provided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97"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231F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760"/>
          </w:cols>
          <w:pgMar w:left="540" w:top="750" w:right="580" w:bottom="0" w:gutter="0" w:footer="0" w:header="0"/>
          <w:type w:val="continuous"/>
        </w:sectPr>
      </w:pPr>
    </w:p>
    <w:bookmarkStart w:id="69" w:name="page70"/>
    <w:bookmarkEnd w:id="69"/>
    <w:p>
      <w:pPr>
        <w:ind w:right="340"/>
        <w:spacing w:after="0" w:line="289" w:lineRule="auto"/>
        <w:rPr>
          <w:sz w:val="20"/>
          <w:szCs w:val="20"/>
          <w:color w:val="auto"/>
        </w:rPr>
      </w:pPr>
      <w:r>
        <w:rPr>
          <w:rFonts w:ascii="Arial" w:cs="Arial" w:eastAsia="Arial" w:hAnsi="Arial"/>
          <w:sz w:val="20"/>
          <w:szCs w:val="20"/>
          <w:b w:val="1"/>
          <w:bCs w:val="1"/>
          <w:i w:val="1"/>
          <w:iCs w:val="1"/>
          <w:color w:val="231F20"/>
        </w:rPr>
        <w:t>If we fail to adhere to the listing requirements of the Nasdaq Global Select Market our common stock could be delisted.</w:t>
      </w:r>
    </w:p>
    <w:p>
      <w:pPr>
        <w:spacing w:after="0" w:line="22"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231F20"/>
        </w:rPr>
        <w:t>If we are unable to comply with the listing requirements of the Nasdaq Global Select Market, our stock could be delisted for such failure. If our common stock is delisted from Nasdaq, we could be required to list on the over-the-counter market, which may adversely affect the price and trading liquidity of our common stock. Delisting from Nasdaq may have other negative results, including the potential loss of confidence in us by employees and partners, the loss of institutional investor interest, fewer business development opportunities and greater difficulty in obtaining financing on favorable terms or at all.</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Recent and potential future changes to U.S. and non-U.S. tax laws could materially adversely affect our company.</w:t>
      </w:r>
    </w:p>
    <w:p>
      <w:pPr>
        <w:spacing w:after="0" w:line="128"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231F20"/>
        </w:rPr>
        <w:t>Existing, new, or future changes in tax laws, regulations, and treaties, or the interpretation thereof, in addition to tax policy initiatives, reforms and other initiatives under consideration in the U.S. and internationally could have an adverse effect on the taxation of international businesses. Furthermore, countries where we are subject to taxes, including the U.S., are independently evaluating their tax policies and we may see significant changes in legislation and regulations concerning taxation. For example, the TCJA, the CARES Act and the IRA made many significant changes to the U.S. tax laws. Future guidance from the U.S. Internal Revenue Service and other tax authorities with respect to any such tax legislation may affect us, and certain aspects of the previously enacted legislation could be repealed or modified in future legislation. In addition, it is uncertain if and to what extent various states will conform to the TCJA, the CARES Act, the IRA, or any newly enacted federal tax legislation. Other legislative changes could also affect the taxation of holders of our common stock. We are unable to predict what tax reform may be proposed or enacted in the future or what effect such changes would have on our business, but such changes could affect our effective tax rates in the future in countries where we are subject to tax and have an adverse effect on our overall tax rate in the future, along with increasing the complexity, burden, and cost of tax compliance.</w:t>
      </w:r>
    </w:p>
    <w:p>
      <w:pPr>
        <w:spacing w:after="0" w:line="203" w:lineRule="exact"/>
        <w:rPr>
          <w:sz w:val="20"/>
          <w:szCs w:val="20"/>
          <w:color w:val="auto"/>
        </w:rPr>
      </w:pPr>
    </w:p>
    <w:p>
      <w:pPr>
        <w:ind w:right="80" w:firstLine="490"/>
        <w:spacing w:after="0" w:line="254" w:lineRule="auto"/>
        <w:rPr>
          <w:sz w:val="20"/>
          <w:szCs w:val="20"/>
          <w:color w:val="auto"/>
        </w:rPr>
      </w:pPr>
      <w:r>
        <w:rPr>
          <w:rFonts w:ascii="Arial" w:cs="Arial" w:eastAsia="Arial" w:hAnsi="Arial"/>
          <w:sz w:val="20"/>
          <w:szCs w:val="20"/>
          <w:color w:val="231F20"/>
        </w:rPr>
        <w:t>In July 2025, the U.S. government enacted the OBBBA, which includes several changes to U.S. federal income tax law, including the temporary and permanent extension of expiring provisions of the TCJA. Adoption of the OBBBA did not have a material impact to our financial statements and related disclosures. We will continue to monitor the impact of the OBBBA in future periods.</w:t>
      </w:r>
    </w:p>
    <w:p>
      <w:pPr>
        <w:spacing w:after="0" w:line="310" w:lineRule="exact"/>
        <w:rPr>
          <w:sz w:val="20"/>
          <w:szCs w:val="20"/>
          <w:color w:val="auto"/>
        </w:rPr>
      </w:pPr>
    </w:p>
    <w:p>
      <w:pPr>
        <w:ind w:right="120"/>
        <w:spacing w:after="0" w:line="289" w:lineRule="auto"/>
        <w:rPr>
          <w:sz w:val="20"/>
          <w:szCs w:val="20"/>
          <w:color w:val="auto"/>
        </w:rPr>
      </w:pPr>
      <w:r>
        <w:rPr>
          <w:rFonts w:ascii="Arial" w:cs="Arial" w:eastAsia="Arial" w:hAnsi="Arial"/>
          <w:sz w:val="20"/>
          <w:szCs w:val="20"/>
          <w:b w:val="1"/>
          <w:bCs w:val="1"/>
          <w:i w:val="1"/>
          <w:iCs w:val="1"/>
          <w:color w:val="231F20"/>
        </w:rPr>
        <w:t>Indemnity provisions in various agreements potentially expose us to substantial liability for intellectual property infringement, data protection, and other losses.</w:t>
      </w:r>
    </w:p>
    <w:p>
      <w:pPr>
        <w:spacing w:after="0" w:line="22" w:lineRule="exact"/>
        <w:rPr>
          <w:sz w:val="20"/>
          <w:szCs w:val="20"/>
          <w:color w:val="auto"/>
        </w:rPr>
      </w:pPr>
    </w:p>
    <w:p>
      <w:pPr>
        <w:ind w:firstLine="490"/>
        <w:spacing w:after="0" w:line="264" w:lineRule="auto"/>
        <w:rPr>
          <w:sz w:val="20"/>
          <w:szCs w:val="20"/>
          <w:color w:val="auto"/>
        </w:rPr>
      </w:pPr>
      <w:r>
        <w:rPr>
          <w:rFonts w:ascii="Arial" w:cs="Arial" w:eastAsia="Arial" w:hAnsi="Arial"/>
          <w:sz w:val="19"/>
          <w:szCs w:val="19"/>
          <w:color w:val="231F20"/>
        </w:rPr>
        <w:t>Our agreements with third parties may include indemnification provisions under which we agree to indemnify them for losses suffered or incurred as a result of claims of intellectual property infringement or other liabilities relating to or arising from our contractual obligations. Large indemnity payments could harm our business, financial condition, results of operations and growth prospects.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1B. Unresolved Staff Comments.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1C. Cybersecurity.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Cybersecurity Risk Management and Strategy</w:t>
      </w:r>
    </w:p>
    <w:p>
      <w:pPr>
        <w:spacing w:after="0" w:line="116" w:lineRule="exact"/>
        <w:rPr>
          <w:sz w:val="20"/>
          <w:szCs w:val="20"/>
          <w:color w:val="auto"/>
        </w:rPr>
      </w:pPr>
    </w:p>
    <w:p>
      <w:pPr>
        <w:ind w:right="660" w:firstLine="490"/>
        <w:spacing w:after="0" w:line="261" w:lineRule="auto"/>
        <w:rPr>
          <w:sz w:val="20"/>
          <w:szCs w:val="20"/>
          <w:color w:val="auto"/>
        </w:rPr>
      </w:pPr>
      <w:r>
        <w:rPr>
          <w:rFonts w:ascii="Arial" w:cs="Arial" w:eastAsia="Arial" w:hAnsi="Arial"/>
          <w:sz w:val="20"/>
          <w:szCs w:val="20"/>
          <w:color w:val="231F20"/>
        </w:rPr>
        <w:t>We have developed and implemented cybersecurity risk management practices intended to protect the confidentiality, integrity, and availability of our critical systems and information. Our cybersecurity risk management practices include a cybersecurity incident response plan.</w:t>
      </w:r>
    </w:p>
    <w:p>
      <w:pPr>
        <w:spacing w:after="0" w:line="180" w:lineRule="exact"/>
        <w:rPr>
          <w:sz w:val="20"/>
          <w:szCs w:val="20"/>
          <w:color w:val="auto"/>
        </w:rPr>
      </w:pPr>
    </w:p>
    <w:p>
      <w:pPr>
        <w:ind w:right="440" w:firstLine="490"/>
        <w:spacing w:after="0" w:line="254" w:lineRule="auto"/>
        <w:rPr>
          <w:sz w:val="20"/>
          <w:szCs w:val="20"/>
          <w:color w:val="auto"/>
        </w:rPr>
      </w:pPr>
      <w:r>
        <w:rPr>
          <w:rFonts w:ascii="Arial" w:cs="Arial" w:eastAsia="Arial" w:hAnsi="Arial"/>
          <w:sz w:val="20"/>
          <w:szCs w:val="20"/>
          <w:color w:val="231F20"/>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ectPr>
          <w:pgSz w:w="11880" w:h="15480" w:orient="portrait"/>
          <w:cols w:equalWidth="0" w:num="1">
            <w:col w:w="10780"/>
          </w:cols>
          <w:pgMar w:left="540" w:top="75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780"/>
          </w:cols>
          <w:pgMar w:left="540" w:top="754" w:right="560" w:bottom="0" w:gutter="0" w:footer="0" w:header="0"/>
          <w:type w:val="continuous"/>
        </w:sectPr>
      </w:pPr>
    </w:p>
    <w:bookmarkStart w:id="70" w:name="page71"/>
    <w:bookmarkEnd w:id="70"/>
    <w:p>
      <w:pPr>
        <w:ind w:left="480"/>
        <w:spacing w:after="0"/>
        <w:rPr>
          <w:sz w:val="20"/>
          <w:szCs w:val="20"/>
          <w:color w:val="auto"/>
        </w:rPr>
      </w:pPr>
      <w:r>
        <w:rPr>
          <w:rFonts w:ascii="Arial" w:cs="Arial" w:eastAsia="Arial" w:hAnsi="Arial"/>
          <w:sz w:val="20"/>
          <w:szCs w:val="20"/>
          <w:color w:val="231F20"/>
        </w:rPr>
        <w:t>Key elements of our cybersecurity risk management practices include but are not limited to:</w:t>
      </w:r>
    </w:p>
    <w:p>
      <w:pPr>
        <w:spacing w:after="0" w:line="134" w:lineRule="exact"/>
        <w:rPr>
          <w:sz w:val="20"/>
          <w:szCs w:val="20"/>
          <w:color w:val="auto"/>
        </w:rPr>
      </w:pPr>
    </w:p>
    <w:p>
      <w:pPr>
        <w:jc w:val="both"/>
        <w:ind w:left="980" w:right="380" w:hanging="490"/>
        <w:spacing w:after="0" w:line="282" w:lineRule="auto"/>
        <w:tabs>
          <w:tab w:leader="none" w:pos="980" w:val="left"/>
        </w:tabs>
        <w:numPr>
          <w:ilvl w:val="0"/>
          <w:numId w:val="45"/>
        </w:numPr>
        <w:rPr>
          <w:rFonts w:ascii="Arial" w:cs="Arial" w:eastAsia="Arial" w:hAnsi="Arial"/>
          <w:sz w:val="20"/>
          <w:szCs w:val="20"/>
          <w:color w:val="231F20"/>
        </w:rPr>
      </w:pPr>
      <w:r>
        <w:rPr>
          <w:rFonts w:ascii="Arial" w:cs="Arial" w:eastAsia="Arial" w:hAnsi="Arial"/>
          <w:sz w:val="20"/>
          <w:szCs w:val="20"/>
          <w:color w:val="231F20"/>
        </w:rPr>
        <w:t>risk monitoring and assessments designed to help identify material cybersecurity risks from cybersecurity threats to our critical systems, information, products, services, and our broader enterprise IT environment;</w:t>
      </w:r>
    </w:p>
    <w:p>
      <w:pPr>
        <w:spacing w:after="0" w:line="53" w:lineRule="exact"/>
        <w:rPr>
          <w:rFonts w:ascii="Arial" w:cs="Arial" w:eastAsia="Arial" w:hAnsi="Arial"/>
          <w:sz w:val="20"/>
          <w:szCs w:val="20"/>
          <w:color w:val="231F20"/>
        </w:rPr>
      </w:pPr>
    </w:p>
    <w:p>
      <w:pPr>
        <w:ind w:left="980" w:right="20" w:hanging="490"/>
        <w:spacing w:after="0" w:line="282" w:lineRule="auto"/>
        <w:tabs>
          <w:tab w:leader="none" w:pos="980" w:val="left"/>
        </w:tabs>
        <w:numPr>
          <w:ilvl w:val="0"/>
          <w:numId w:val="45"/>
        </w:numPr>
        <w:rPr>
          <w:rFonts w:ascii="Arial" w:cs="Arial" w:eastAsia="Arial" w:hAnsi="Arial"/>
          <w:sz w:val="20"/>
          <w:szCs w:val="20"/>
          <w:color w:val="231F20"/>
        </w:rPr>
      </w:pPr>
      <w:r>
        <w:rPr>
          <w:rFonts w:ascii="Arial" w:cs="Arial" w:eastAsia="Arial" w:hAnsi="Arial"/>
          <w:sz w:val="20"/>
          <w:szCs w:val="20"/>
          <w:color w:val="231F20"/>
        </w:rPr>
        <w:t>internal and external IT professionals responsible for managing our (1) cybersecurity risk analysis, (2) security controls, and (3) response to cybersecurity incidents;</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Arial" w:cs="Arial" w:eastAsia="Arial" w:hAnsi="Arial"/>
          <w:sz w:val="20"/>
          <w:szCs w:val="20"/>
          <w:color w:val="231F20"/>
        </w:rPr>
        <w:t>the use of external service providers, where appropriate, to assist with aspects of our security controls;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Arial" w:cs="Arial" w:eastAsia="Arial" w:hAnsi="Arial"/>
          <w:sz w:val="20"/>
          <w:szCs w:val="20"/>
          <w:color w:val="231F20"/>
        </w:rPr>
        <w:t>cybersecurity awareness training of our employees and senior management; and</w:t>
      </w:r>
    </w:p>
    <w:p>
      <w:pPr>
        <w:spacing w:after="0" w:line="133" w:lineRule="exact"/>
        <w:rPr>
          <w:rFonts w:ascii="Arial" w:cs="Arial" w:eastAsia="Arial" w:hAnsi="Arial"/>
          <w:sz w:val="20"/>
          <w:szCs w:val="20"/>
          <w:color w:val="231F20"/>
        </w:rPr>
      </w:pPr>
    </w:p>
    <w:p>
      <w:pPr>
        <w:ind w:left="980" w:right="600" w:hanging="490"/>
        <w:spacing w:after="0" w:line="282" w:lineRule="auto"/>
        <w:tabs>
          <w:tab w:leader="none" w:pos="980" w:val="left"/>
        </w:tabs>
        <w:numPr>
          <w:ilvl w:val="0"/>
          <w:numId w:val="45"/>
        </w:numPr>
        <w:rPr>
          <w:rFonts w:ascii="Arial" w:cs="Arial" w:eastAsia="Arial" w:hAnsi="Arial"/>
          <w:sz w:val="20"/>
          <w:szCs w:val="20"/>
          <w:color w:val="231F20"/>
        </w:rPr>
      </w:pPr>
      <w:r>
        <w:rPr>
          <w:rFonts w:ascii="Arial" w:cs="Arial" w:eastAsia="Arial" w:hAnsi="Arial"/>
          <w:sz w:val="20"/>
          <w:szCs w:val="20"/>
          <w:color w:val="231F20"/>
        </w:rPr>
        <w:t>a breach response and cybersecurity incident response plan that includes procedures for responding to cybersecurity incidents.</w:t>
      </w:r>
    </w:p>
    <w:p>
      <w:pPr>
        <w:spacing w:after="0" w:line="160" w:lineRule="exact"/>
        <w:rPr>
          <w:sz w:val="20"/>
          <w:szCs w:val="20"/>
          <w:color w:val="auto"/>
        </w:rPr>
      </w:pPr>
    </w:p>
    <w:p>
      <w:pPr>
        <w:ind w:right="160" w:firstLine="490"/>
        <w:spacing w:after="0" w:line="271" w:lineRule="auto"/>
        <w:rPr>
          <w:sz w:val="20"/>
          <w:szCs w:val="20"/>
          <w:color w:val="auto"/>
        </w:rPr>
      </w:pPr>
      <w:r>
        <w:rPr>
          <w:rFonts w:ascii="Arial" w:cs="Arial" w:eastAsia="Arial" w:hAnsi="Arial"/>
          <w:sz w:val="19"/>
          <w:szCs w:val="19"/>
          <w:color w:val="231F20"/>
        </w:rPr>
        <w:t>Although we face risks from cybersecurity threats, no known cybersecurity threats have materially affected or we believe are reasonably likely to materially affect us, including our business, financial condition, results of operations and growth prospects. See “Risk Factors – Significant disruptions of our or our vendors’ information technology systems or cybersecurity incidents could result in significant financial, legal, regulatory, business, and reputational harm to us.”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Cybersecurity Governance</w:t>
      </w:r>
    </w:p>
    <w:p>
      <w:pPr>
        <w:spacing w:after="0" w:line="116" w:lineRule="exact"/>
        <w:rPr>
          <w:sz w:val="20"/>
          <w:szCs w:val="20"/>
          <w:color w:val="auto"/>
        </w:rPr>
      </w:pPr>
    </w:p>
    <w:p>
      <w:pPr>
        <w:ind w:right="180" w:firstLine="490"/>
        <w:spacing w:after="0" w:line="250" w:lineRule="auto"/>
        <w:rPr>
          <w:sz w:val="20"/>
          <w:szCs w:val="20"/>
          <w:color w:val="auto"/>
        </w:rPr>
      </w:pPr>
      <w:r>
        <w:rPr>
          <w:rFonts w:ascii="Arial" w:cs="Arial" w:eastAsia="Arial" w:hAnsi="Arial"/>
          <w:sz w:val="20"/>
          <w:szCs w:val="20"/>
          <w:color w:val="231F20"/>
        </w:rPr>
        <w:t>Our Board considers cybersecurity risk as part of its risk oversight function and has delegated to the Audit Committee of our Board (the “Audit Committee”) oversight of cybersecurity risks, including oversight of management’s implementation of our cybersecurity risk management program. The Audit Committee receives reports at least annually from management on our cybersecurity risks and would be informed of any cybersecurity incidents that management considers to be significant or potentially significant.</w:t>
      </w:r>
    </w:p>
    <w:p>
      <w:pPr>
        <w:spacing w:after="0" w:line="192"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231F20"/>
        </w:rPr>
        <w:t>Our internal cybersecurity professional reports to our CEO and is responsible for assessing and managing our material risks from cybersecurity threats. The CEO is supported by our Chief Legal Officer in exercising primary oversight for our overall cybersecurity risk management program.</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2. Properties.</w:t>
      </w:r>
    </w:p>
    <w:p>
      <w:pPr>
        <w:spacing w:after="0" w:line="138" w:lineRule="exact"/>
        <w:rPr>
          <w:sz w:val="20"/>
          <w:szCs w:val="20"/>
          <w:color w:val="auto"/>
        </w:rPr>
      </w:pPr>
    </w:p>
    <w:p>
      <w:pPr>
        <w:ind w:firstLine="490"/>
        <w:spacing w:after="0" w:line="244" w:lineRule="exact"/>
        <w:rPr>
          <w:sz w:val="20"/>
          <w:szCs w:val="20"/>
          <w:color w:val="auto"/>
        </w:rPr>
      </w:pPr>
      <w:r>
        <w:rPr>
          <w:rFonts w:ascii="Arial" w:cs="Arial" w:eastAsia="Arial" w:hAnsi="Arial"/>
          <w:sz w:val="20"/>
          <w:szCs w:val="20"/>
          <w:color w:val="231F20"/>
        </w:rPr>
        <w:t>We operate primarily as a remote</w:t>
      </w:r>
      <w:r>
        <w:rPr>
          <w:rFonts w:ascii="MS Gothic" w:cs="MS Gothic" w:eastAsia="MS Gothic" w:hAnsi="MS Gothic"/>
          <w:sz w:val="20"/>
          <w:szCs w:val="20"/>
          <w:color w:val="231F20"/>
        </w:rPr>
        <w:t>‑</w:t>
      </w:r>
      <w:r>
        <w:rPr>
          <w:rFonts w:ascii="Arial" w:cs="Arial" w:eastAsia="Arial" w:hAnsi="Arial"/>
          <w:sz w:val="20"/>
          <w:szCs w:val="20"/>
          <w:color w:val="231F20"/>
        </w:rPr>
        <w:t>first organization. We do not own any real property. We use coworking or flexible office space in Menlo Park, California that serves as our registered address and for meetings or collaboration on an as-needed basis. We believe that our current facilities arrangement will be adequate for our near-term needs. If required, we believe that suitable space would be available in the future on commercially reasonable terms.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3. Legal Proceedings.</w:t>
      </w:r>
    </w:p>
    <w:p>
      <w:pPr>
        <w:spacing w:after="0" w:line="124" w:lineRule="exact"/>
        <w:rPr>
          <w:sz w:val="20"/>
          <w:szCs w:val="20"/>
          <w:color w:val="auto"/>
        </w:rPr>
      </w:pPr>
    </w:p>
    <w:p>
      <w:pPr>
        <w:ind w:right="380" w:firstLine="490"/>
        <w:spacing w:after="0" w:line="282" w:lineRule="auto"/>
        <w:rPr>
          <w:sz w:val="20"/>
          <w:szCs w:val="20"/>
          <w:color w:val="auto"/>
        </w:rPr>
      </w:pPr>
      <w:r>
        <w:rPr>
          <w:rFonts w:ascii="Arial" w:cs="Arial" w:eastAsia="Arial" w:hAnsi="Arial"/>
          <w:sz w:val="20"/>
          <w:szCs w:val="20"/>
          <w:color w:val="231F20"/>
        </w:rPr>
        <w:t>The information in Part IV, Note 7—Commitments and Contingencies—Contingencies is incorporated herein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4. Mine Safety Disclosures.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Not applicable.</w:t>
      </w:r>
    </w:p>
    <w:p>
      <w:pPr>
        <w:sectPr>
          <w:pgSz w:w="11880" w:h="15480" w:orient="portrait"/>
          <w:cols w:equalWidth="0" w:num="1">
            <w:col w:w="10700"/>
          </w:cols>
          <w:pgMar w:left="540" w:top="75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10700"/>
          </w:cols>
          <w:pgMar w:left="540" w:top="750" w:right="640" w:bottom="0" w:gutter="0" w:footer="0" w:header="0"/>
          <w:type w:val="continuous"/>
        </w:sectPr>
      </w:pPr>
    </w:p>
    <w:bookmarkStart w:id="71" w:name="page72"/>
    <w:bookmarkEnd w:id="71"/>
    <w:p>
      <w:pPr>
        <w:jc w:val="center"/>
        <w:ind w:right="-499"/>
        <w:spacing w:after="0"/>
        <w:rPr>
          <w:sz w:val="20"/>
          <w:szCs w:val="20"/>
          <w:color w:val="auto"/>
        </w:rPr>
      </w:pPr>
      <w:r>
        <w:rPr>
          <w:rFonts w:ascii="Arial" w:cs="Arial" w:eastAsia="Arial" w:hAnsi="Arial"/>
          <w:sz w:val="20"/>
          <w:szCs w:val="20"/>
          <w:b w:val="1"/>
          <w:bCs w:val="1"/>
          <w:color w:val="231F20"/>
        </w:rPr>
        <w:t>PART II</w:t>
      </w:r>
    </w:p>
    <w:p>
      <w:pPr>
        <w:spacing w:after="0" w:line="360" w:lineRule="exact"/>
        <w:rPr>
          <w:sz w:val="20"/>
          <w:szCs w:val="20"/>
          <w:color w:val="auto"/>
        </w:rPr>
      </w:pPr>
    </w:p>
    <w:p>
      <w:pPr>
        <w:ind w:right="480"/>
        <w:spacing w:after="0" w:line="297" w:lineRule="auto"/>
        <w:rPr>
          <w:sz w:val="20"/>
          <w:szCs w:val="20"/>
          <w:color w:val="auto"/>
        </w:rPr>
      </w:pPr>
      <w:r>
        <w:rPr>
          <w:rFonts w:ascii="Arial" w:cs="Arial" w:eastAsia="Arial" w:hAnsi="Arial"/>
          <w:sz w:val="20"/>
          <w:szCs w:val="20"/>
          <w:b w:val="1"/>
          <w:bCs w:val="1"/>
          <w:color w:val="231F20"/>
        </w:rPr>
        <w:t>Item 5. Market for Registrant’s Common Equity, Related Stockholder Matters and Issuer Purchases of Equity Securities.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Market Information for Common Stock</w:t>
      </w:r>
    </w:p>
    <w:p>
      <w:pPr>
        <w:spacing w:after="0" w:line="116" w:lineRule="exact"/>
        <w:rPr>
          <w:sz w:val="20"/>
          <w:szCs w:val="20"/>
          <w:color w:val="auto"/>
        </w:rPr>
      </w:pPr>
    </w:p>
    <w:p>
      <w:pPr>
        <w:ind w:right="160" w:firstLine="490"/>
        <w:spacing w:after="0" w:line="282" w:lineRule="auto"/>
        <w:rPr>
          <w:sz w:val="20"/>
          <w:szCs w:val="20"/>
          <w:color w:val="auto"/>
        </w:rPr>
      </w:pPr>
      <w:r>
        <w:rPr>
          <w:rFonts w:ascii="Arial" w:cs="Arial" w:eastAsia="Arial" w:hAnsi="Arial"/>
          <w:sz w:val="20"/>
          <w:szCs w:val="20"/>
          <w:color w:val="231F20"/>
        </w:rPr>
        <w:t>Our common stock has been listed on the Nasdaq Global Select Market under the symbol “ANTX” since March 25, 2022. Prior to that date, there was no public trading market for our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Dividend Policy</w:t>
      </w:r>
    </w:p>
    <w:p>
      <w:pPr>
        <w:spacing w:after="0" w:line="116"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We have never declared or paid any dividends on our common stock. We anticipate that we will retain all of our future earnings, if any, for use in the operation and expansion of our business and do not anticipate paying cash dividends in the foreseeable future. Any future determination to declare or pay dividends will be made at the discretion of our Board, subject to applicable laws, and will depend upon, among other factors, our results of operations, financial condition, contractual restrictions, capital requirements, general business conditions and other factors that our Board may deem relevant. Our future ability to pay cash dividends on our capital stock may be limited by the terms of any future debt or preferred securities.</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Stockholders</w:t>
      </w:r>
    </w:p>
    <w:p>
      <w:pPr>
        <w:spacing w:after="0" w:line="116" w:lineRule="exact"/>
        <w:rPr>
          <w:sz w:val="20"/>
          <w:szCs w:val="20"/>
          <w:color w:val="auto"/>
        </w:rPr>
      </w:pPr>
    </w:p>
    <w:p>
      <w:pPr>
        <w:ind w:right="360" w:firstLine="490"/>
        <w:spacing w:after="0" w:line="254" w:lineRule="auto"/>
        <w:rPr>
          <w:sz w:val="20"/>
          <w:szCs w:val="20"/>
          <w:color w:val="auto"/>
        </w:rPr>
      </w:pPr>
      <w:r>
        <w:rPr>
          <w:rFonts w:ascii="Arial" w:cs="Arial" w:eastAsia="Arial" w:hAnsi="Arial"/>
          <w:sz w:val="20"/>
          <w:szCs w:val="20"/>
          <w:color w:val="231F20"/>
        </w:rPr>
        <w:t>As of March 10, 2026, we had 40 holders of record of our common stock. The actual number of stockholders is greater than this number of record holders and includes stockholders who are beneficial owners but whose shares are held in street name by brokers and other nominees. This number of record holders also does not include stockholders whose shares may be held in trust by other entities.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Securities Authorized for Issuance under Equity Compensation Plans</w:t>
      </w:r>
    </w:p>
    <w:p>
      <w:pPr>
        <w:spacing w:after="0" w:line="116" w:lineRule="exact"/>
        <w:rPr>
          <w:sz w:val="20"/>
          <w:szCs w:val="20"/>
          <w:color w:val="auto"/>
        </w:rPr>
      </w:pPr>
    </w:p>
    <w:p>
      <w:pPr>
        <w:ind w:right="60" w:firstLine="490"/>
        <w:spacing w:after="0" w:line="261" w:lineRule="auto"/>
        <w:rPr>
          <w:sz w:val="20"/>
          <w:szCs w:val="20"/>
          <w:color w:val="auto"/>
        </w:rPr>
      </w:pPr>
      <w:r>
        <w:rPr>
          <w:rFonts w:ascii="Arial" w:cs="Arial" w:eastAsia="Arial" w:hAnsi="Arial"/>
          <w:sz w:val="20"/>
          <w:szCs w:val="20"/>
          <w:color w:val="231F20"/>
        </w:rPr>
        <w:t>The information required by this item is incorporated by reference to the definitive proxy statement for our 2025 annual meeting of stockholders (the “Proxy Statement”) to be filed with the SEC within 120 days after the end of our fiscal year ended December 31, 2025.</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Recent Sales of Unregistered Equity Securities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None.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Use of Proceeds from Public Offering of Common Stock</w:t>
      </w:r>
    </w:p>
    <w:p>
      <w:pPr>
        <w:spacing w:after="0" w:line="116" w:lineRule="exact"/>
        <w:rPr>
          <w:sz w:val="20"/>
          <w:szCs w:val="20"/>
          <w:color w:val="auto"/>
        </w:rPr>
      </w:pPr>
    </w:p>
    <w:p>
      <w:pPr>
        <w:ind w:right="400" w:firstLine="490"/>
        <w:spacing w:after="0" w:line="261" w:lineRule="auto"/>
        <w:rPr>
          <w:sz w:val="20"/>
          <w:szCs w:val="20"/>
          <w:color w:val="auto"/>
        </w:rPr>
      </w:pPr>
      <w:r>
        <w:rPr>
          <w:rFonts w:ascii="Arial" w:cs="Arial" w:eastAsia="Arial" w:hAnsi="Arial"/>
          <w:sz w:val="20"/>
          <w:szCs w:val="20"/>
          <w:color w:val="231F20"/>
        </w:rPr>
        <w:t>On March 24, 2022, our registration statement on Form S-1 (File No. 333-263295) was declared effective by the SEC for the IPO of our common stock. There has been no material change in the use of proceeds from our IPO as described in our final prospectus dated March 24, 2022 pursuant to Rule 424(b)(4).</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Issuer Purchases of Equity Securities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6. [Reserved].</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10780"/>
          </w:cols>
          <w:pgMar w:left="540" w:top="746" w:right="56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color w:val="231F20"/>
        </w:rPr>
        <w:t>Item 7. Management’s Discussion and Analysis of Financial Condition and Results of Operations.</w:t>
      </w:r>
    </w:p>
    <w:p>
      <w:pPr>
        <w:spacing w:after="0" w:line="13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i w:val="1"/>
          <w:iCs w:val="1"/>
          <w:color w:val="231F20"/>
        </w:rPr>
        <w:t>The following discussion and analysis of our financial condition as of December 31, 2025 and results of operations for the years ended December 31, 2025 and 2024 should be read in conjunction with our financial statements and related notes thereto included elsewhere in this Annual Report on Form 10-K (“Form 10-K”.) This section of this Form 10-K generally discusses 2025 and 2024 items and year-to-year comparisons between 2025 and 2024. Except as otherwise indicated herein or as the context otherwise requires, references in this Form 10-K to “AN2,” the “Company,” “we,” “us” and “our” refer to AN2 Therapeutics, Inc.</w:t>
      </w:r>
    </w:p>
    <w:p>
      <w:pPr>
        <w:spacing w:after="0" w:line="206"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i w:val="1"/>
          <w:iCs w:val="1"/>
          <w:color w:val="231F20"/>
        </w:rPr>
        <w:t>This discussion and analysis and other parts of this Form 10-K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 Item 1A of this Annual Report on Form 10-K. See also the section titled “Special Note Regarding Forward-Looking Statements.”</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Overview</w:t>
      </w:r>
    </w:p>
    <w:p>
      <w:pPr>
        <w:spacing w:after="0" w:line="116"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231F20"/>
        </w:rPr>
        <w:t>We are a clinical stage biopharmaceutical company focused on the discovery and development of novel small molecule therapeutics derived from our boron chemistry platform. Our development pipeline spans hematologic diseases, infectious diseases, and oncology with three Phase 2 studies expected to initiate in 2026 and two preclinical candidates, as well as advanced research programs focused on targets in oncology, bone disorders, and infectious diseases. We are committed to delivering high-impact drugs to patients that address critical medical needs and improve health outcomes.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Epetraborole - Polycythemia vera</w:t>
      </w:r>
    </w:p>
    <w:p>
      <w:pPr>
        <w:spacing w:after="0" w:line="116"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In March 2026, we announced our plan to expand the development of oral epetraborole into a Phase 2 proof-of-concept clinical study in adults with phlebotomy-dependent polycythemia vera (PV). PV is a blood cancer characterized by overproduction of red blood cells in the bone marrow. This overproduction increases hematocrit, which can lead to serious medical complications including arterial and venous thromboembolic events. If untreated, PV can be life-threatening. Despite available therapies, many patients experience uncontrolled hematocrit levels and persistent symptom burden, requiring long-term management to maintain adequate disease control. PV is estimated to affect approximately 155,000 people in the U.S.</w:t>
      </w:r>
    </w:p>
    <w:p>
      <w:pPr>
        <w:spacing w:after="0" w:line="193" w:lineRule="exact"/>
        <w:rPr>
          <w:sz w:val="20"/>
          <w:szCs w:val="20"/>
          <w:color w:val="auto"/>
        </w:rPr>
      </w:pPr>
    </w:p>
    <w:p>
      <w:pPr>
        <w:ind w:right="60" w:firstLine="490"/>
        <w:spacing w:after="0" w:line="261" w:lineRule="auto"/>
        <w:rPr>
          <w:sz w:val="20"/>
          <w:szCs w:val="20"/>
          <w:color w:val="auto"/>
        </w:rPr>
      </w:pPr>
      <w:r>
        <w:rPr>
          <w:rFonts w:ascii="Arial" w:cs="Arial" w:eastAsia="Arial" w:hAnsi="Arial"/>
          <w:sz w:val="20"/>
          <w:szCs w:val="20"/>
          <w:color w:val="231F20"/>
        </w:rPr>
        <w:t>We are proceeding through the regulatory process and anticipate initiating a Phase 2 trial in India in the third quarter of 2026. We expect to provide periodic data readouts beginning as early as the fourth quarter of 2026 and throughout 2027, subject to regulatory clearance and enrollment progress.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Epetraborole – M. abscessus</w:t>
      </w:r>
    </w:p>
    <w:p>
      <w:pPr>
        <w:spacing w:after="0" w:line="116" w:lineRule="exact"/>
        <w:rPr>
          <w:sz w:val="20"/>
          <w:szCs w:val="20"/>
          <w:color w:val="auto"/>
        </w:rPr>
      </w:pPr>
    </w:p>
    <w:p>
      <w:pPr>
        <w:ind w:right="220" w:firstLine="490"/>
        <w:spacing w:after="0" w:line="247" w:lineRule="auto"/>
        <w:rPr>
          <w:sz w:val="20"/>
          <w:szCs w:val="20"/>
          <w:color w:val="auto"/>
        </w:rPr>
      </w:pPr>
      <w:r>
        <w:rPr>
          <w:rFonts w:ascii="Arial" w:cs="Arial" w:eastAsia="Arial" w:hAnsi="Arial"/>
          <w:sz w:val="20"/>
          <w:szCs w:val="20"/>
          <w:color w:val="231F20"/>
        </w:rPr>
        <w:t xml:space="preserve">Building on the microbiological and safety data from our prior NTM study, we believe that epetraborole has the potential to address a critical unmet need in </w:t>
      </w:r>
      <w:r>
        <w:rPr>
          <w:rFonts w:ascii="Arial" w:cs="Arial" w:eastAsia="Arial" w:hAnsi="Arial"/>
          <w:sz w:val="20"/>
          <w:szCs w:val="20"/>
          <w:i w:val="1"/>
          <w:iCs w:val="1"/>
          <w:color w:val="231F20"/>
        </w:rPr>
        <w:t>M. abscessus</w:t>
      </w:r>
      <w:r>
        <w:rPr>
          <w:rFonts w:ascii="Arial" w:cs="Arial" w:eastAsia="Arial" w:hAnsi="Arial"/>
          <w:sz w:val="20"/>
          <w:szCs w:val="20"/>
          <w:color w:val="231F20"/>
        </w:rPr>
        <w:t xml:space="preserve"> lung disease, one of the most difficult to treat NTM infections for which no FDA-approved therapies exist. The Company is supporting the design of an investigator-initiated trial (“IIT”) and anticipates that data from this potential study, if positive, could provide the clinical evidence of human proof-of-concept in </w:t>
      </w:r>
      <w:r>
        <w:rPr>
          <w:rFonts w:ascii="Arial" w:cs="Arial" w:eastAsia="Arial" w:hAnsi="Arial"/>
          <w:sz w:val="20"/>
          <w:szCs w:val="20"/>
          <w:i w:val="1"/>
          <w:iCs w:val="1"/>
          <w:color w:val="231F20"/>
        </w:rPr>
        <w:t>M. abscessus</w:t>
      </w:r>
      <w:r>
        <w:rPr>
          <w:rFonts w:ascii="Arial" w:cs="Arial" w:eastAsia="Arial" w:hAnsi="Arial"/>
          <w:sz w:val="20"/>
          <w:szCs w:val="20"/>
          <w:color w:val="231F20"/>
        </w:rPr>
        <w:t xml:space="preserve"> and inform the design of a subsequent pivotal trial. NTM lung disease represents a growing global health concern. It is estimated that approximately 120,000–150,000 people in the U.S. are living with NTM lung disease, of which 10–15% are caused by </w:t>
      </w:r>
      <w:r>
        <w:rPr>
          <w:rFonts w:ascii="Arial" w:cs="Arial" w:eastAsia="Arial" w:hAnsi="Arial"/>
          <w:sz w:val="20"/>
          <w:szCs w:val="20"/>
          <w:i w:val="1"/>
          <w:iCs w:val="1"/>
          <w:color w:val="231F20"/>
        </w:rPr>
        <w:t>M. abscessus</w:t>
      </w:r>
      <w:r>
        <w:rPr>
          <w:rFonts w:ascii="Arial" w:cs="Arial" w:eastAsia="Arial" w:hAnsi="Arial"/>
          <w:sz w:val="20"/>
          <w:szCs w:val="20"/>
          <w:color w:val="231F20"/>
        </w:rPr>
        <w:t>.</w:t>
      </w:r>
    </w:p>
    <w:p>
      <w:pPr>
        <w:spacing w:after="0" w:line="193"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231F20"/>
        </w:rPr>
        <w:t xml:space="preserve">In December 2025, the U.S. Food and Drug Administration (“FDA”) cleared an Investigational New Drug Application (“IND”) to proceed with a Phase 2 investigator-initiated study (“IIT”) in collaboration with Oregon Health and Sciences University (“OHSU”) evaluating epetraborole for the treatment of </w:t>
      </w:r>
      <w:r>
        <w:rPr>
          <w:rFonts w:ascii="Arial" w:cs="Arial" w:eastAsia="Arial" w:hAnsi="Arial"/>
          <w:sz w:val="20"/>
          <w:szCs w:val="20"/>
          <w:i w:val="1"/>
          <w:iCs w:val="1"/>
          <w:color w:val="231F20"/>
        </w:rPr>
        <w:t>M. abscessus</w:t>
      </w:r>
      <w:r>
        <w:rPr>
          <w:rFonts w:ascii="Arial" w:cs="Arial" w:eastAsia="Arial" w:hAnsi="Arial"/>
          <w:sz w:val="20"/>
          <w:szCs w:val="20"/>
          <w:color w:val="231F20"/>
        </w:rPr>
        <w:t xml:space="preserve"> lung disease. This multicenter, randomized, double-blind, placebo-controlled, prospective clinical study will be led by Dr. Kevin Winthrop, Professor of Public Health and Infectious Diseases at OHSU, in conjunction with other investigators across an estimated 10-15 sites in the U.S. </w:t>
      </w:r>
      <w:r>
        <w:rPr>
          <w:rFonts w:ascii="Arial" w:cs="Arial" w:eastAsia="Arial" w:hAnsi="Arial"/>
          <w:sz w:val="20"/>
          <w:szCs w:val="20"/>
          <w:i w:val="1"/>
          <w:iCs w:val="1"/>
          <w:color w:val="231F20"/>
        </w:rPr>
        <w:t>M. abscessus</w:t>
      </w:r>
      <w:r>
        <w:rPr>
          <w:rFonts w:ascii="Arial" w:cs="Arial" w:eastAsia="Arial" w:hAnsi="Arial"/>
          <w:sz w:val="20"/>
          <w:szCs w:val="20"/>
          <w:color w:val="231F20"/>
        </w:rPr>
        <w:t xml:space="preserve"> lung disease is a serious and difficult-to-treat non-tuberculous mycobacterial infection requiring prolonged therapy including with IV-only antibiotics, and characterized by limited treatment options and high rates of morbidity and 5-year mortality. No FDA-approved drugs currently exist for its treatment. We expect to initiate enrollment in the first quarter of 2026 and to report topline results in late 2027.</w:t>
      </w:r>
    </w:p>
    <w:p>
      <w:pPr>
        <w:sectPr>
          <w:pgSz w:w="11880" w:h="15480" w:orient="portrait"/>
          <w:cols w:equalWidth="0" w:num="1">
            <w:col w:w="10800"/>
          </w:cols>
          <w:pgMar w:left="540" w:top="746" w:right="540" w:bottom="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10800"/>
          </w:cols>
          <w:pgMar w:left="540" w:top="746" w:right="540" w:bottom="0" w:gutter="0" w:footer="0" w:header="0"/>
          <w:type w:val="continuous"/>
        </w:sectPr>
      </w:pPr>
    </w:p>
    <w:bookmarkStart w:id="73" w:name="page74"/>
    <w:bookmarkEnd w:id="73"/>
    <w:p>
      <w:pPr>
        <w:spacing w:after="0"/>
        <w:rPr>
          <w:sz w:val="20"/>
          <w:szCs w:val="20"/>
          <w:color w:val="auto"/>
        </w:rPr>
      </w:pPr>
      <w:r>
        <w:rPr>
          <w:rFonts w:ascii="Arial" w:cs="Arial" w:eastAsia="Arial" w:hAnsi="Arial"/>
          <w:sz w:val="20"/>
          <w:szCs w:val="20"/>
          <w:b w:val="1"/>
          <w:bCs w:val="1"/>
          <w:i w:val="1"/>
          <w:iCs w:val="1"/>
          <w:color w:val="231F20"/>
        </w:rPr>
        <w:t>AN2-502998 - Chagas disease</w:t>
      </w:r>
    </w:p>
    <w:p>
      <w:pPr>
        <w:spacing w:after="0" w:line="116"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231F20"/>
        </w:rPr>
        <w:t xml:space="preserve">In August 2025, as part of our Chagas disease clinical development program, we commenced our Phase 1 first-in-human trial of oral AN2-502998 (formerly known as AN15368), an investigational, boron-based small molecule in development for the treatment of chronic Chagas disease and we anticipate Phase 1 data in the first quarter of 2026 and initiation of a Phase 2 proof-of-concept study in patients with chronic Chagas disease in 2026, depending on the outcome and timing of completion of the Phase 1 study. The Phase 1 study is evaluating the safety, tolerability, and pharmacokinetics of oral AN2-502998 for chronic Chagas disease, in healthy volunteers. In October 2023, we announced an exclusive license agreement with the University of Georgia Research Foundation to advance the development of AN2-502998, originally discovered by researchers at Anacor, in close collaboration with the University of Georgia. AN2-502998 is the only compound of which we are aware to have demonstrated curative activity in preclinical studies across multiple species, including in non-human primates with long-term, naturally acquired chronic infections caused by diverse </w:t>
      </w:r>
      <w:r>
        <w:rPr>
          <w:rFonts w:ascii="Arial" w:cs="Arial" w:eastAsia="Arial" w:hAnsi="Arial"/>
          <w:sz w:val="20"/>
          <w:szCs w:val="20"/>
          <w:i w:val="1"/>
          <w:iCs w:val="1"/>
          <w:color w:val="231F20"/>
        </w:rPr>
        <w:t>T. cruzi</w:t>
      </w:r>
      <w:r>
        <w:rPr>
          <w:rFonts w:ascii="Arial" w:cs="Arial" w:eastAsia="Arial" w:hAnsi="Arial"/>
          <w:sz w:val="20"/>
          <w:szCs w:val="20"/>
          <w:color w:val="231F20"/>
        </w:rPr>
        <w:t xml:space="preserve"> genetic types. Because NHP infections are naturally acquired in the environment, these efficacy data may be more predictive of efficacy in human clinical trials than other animal models. There are no FDA approved treatments for adults with chronic Chagas disease. In July 2025, we announced a collaboration with the non-profit medical research organization Drugs for Neglected Diseases initiative (“DNDi”) to advance clinical development of AN2-502998. Through the collaboration, AN2 will leverage DNDi's extensive clinical trial network and expertise in Chagas disease to rapidly advance the clinical development of AN2-502998.</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research and development initiatives - Oncology</w:t>
      </w:r>
    </w:p>
    <w:p>
      <w:pPr>
        <w:spacing w:after="0" w:line="116"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231F20"/>
        </w:rPr>
        <w:t>We are pursuing a number of oncology targets where we believe boron chemistry offers a competitive advantage in terms of binding-site differentiation, pharmacodynamics, drug-like properties and IP, including initially ENPP1 and PI3K</w:t>
      </w:r>
      <w:r>
        <w:rPr>
          <w:rFonts w:ascii="Arial" w:cs="Arial" w:eastAsia="Arial" w:hAnsi="Arial"/>
          <w:sz w:val="20"/>
          <w:szCs w:val="20"/>
          <w:i w:val="1"/>
          <w:iCs w:val="1"/>
          <w:color w:val="231F20"/>
        </w:rPr>
        <w:t>α</w:t>
      </w:r>
      <w:r>
        <w:rPr>
          <w:rFonts w:ascii="Arial" w:cs="Arial" w:eastAsia="Arial" w:hAnsi="Arial"/>
          <w:sz w:val="20"/>
          <w:szCs w:val="20"/>
          <w:color w:val="231F20"/>
        </w:rPr>
        <w:t>. The unique binding modes of boron-containing compounds enable the discovery of inhibitors with high ligand efficiency against targets considered undruggable or difficult to access with traditional chemistry approaches. Boron chemistry has produced first-in-class molecules against a number of targets including CPSF3 (AN2-502998 and acoziborole) and LeuRS (epetraborole, ganfeborole and tavaborole). The Company has discovered preclinical compounds with profiles that are sub-nanomolar, highly selective and have excellent oral pharmacokinetics. We plan to advance two oncology candidates into development in 2026 targeting PI3Kα and ENPP1.</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Melioidosis</w:t>
      </w:r>
    </w:p>
    <w:p>
      <w:pPr>
        <w:spacing w:after="0" w:line="116"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231F20"/>
        </w:rPr>
        <w:t>We are also studying epetraborole for the treatment of acute melioidosis, a highly lethal bacterial infection and recognized biothreat. We completed enrollment in a 200-patient observational trial (non-epetraborole treatment) in October 2024 and in June 2025 announced key insights from the trial, which reinforce the high mortality of the disease, despite standard of care (SOC). This study provided critical data which will allow the Company to optimize the design of upcoming clinical studies. Discussions are underway with the U.S. government to fund Phase 2 development of epetraborole in acute melioidosis. Melioidosis has a 90-day mortality rate approaching 40%, despite SOC drugs, including ceftazidime or meropenem. The aim of the program is to meaningfully lower the expected mortality rate by dosing epetraborole on top of SOC. If approved for the treatment of melioidosis, we plan to seek a priority review voucher and could generate revenue from U.S. and other governmental stockpiling, as well as from the use of treatment in disease-endemic countries.</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Recent developments</w:t>
      </w:r>
    </w:p>
    <w:p>
      <w:pPr>
        <w:spacing w:after="0" w:line="116" w:lineRule="exact"/>
        <w:rPr>
          <w:sz w:val="20"/>
          <w:szCs w:val="20"/>
          <w:color w:val="auto"/>
        </w:rPr>
      </w:pPr>
    </w:p>
    <w:p>
      <w:pPr>
        <w:ind w:right="300" w:firstLine="490"/>
        <w:spacing w:after="0" w:line="250" w:lineRule="auto"/>
        <w:rPr>
          <w:sz w:val="20"/>
          <w:szCs w:val="20"/>
          <w:color w:val="auto"/>
        </w:rPr>
      </w:pPr>
      <w:r>
        <w:rPr>
          <w:rFonts w:ascii="Arial" w:cs="Arial" w:eastAsia="Arial" w:hAnsi="Arial"/>
          <w:sz w:val="20"/>
          <w:szCs w:val="20"/>
          <w:color w:val="231F20"/>
        </w:rPr>
        <w:t>In August 2024, we announced a reduction of approximately 50% of our workforce, which was approved by the Board in connection with our restructuring following discontinuation of the EBO-301 Phase 2/3 study of epetraborole in treatment refractory MAC lung disease and to further extend our operating capital. In connection with the workforce reduction, we recognized severance and other charges of $2.2 million, primarily consisting of severance payments and other employee termination-related expenses.</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Future funding requirements</w:t>
      </w:r>
    </w:p>
    <w:p>
      <w:pPr>
        <w:spacing w:after="0" w:line="116" w:lineRule="exact"/>
        <w:rPr>
          <w:sz w:val="20"/>
          <w:szCs w:val="20"/>
          <w:color w:val="auto"/>
        </w:rPr>
      </w:pPr>
    </w:p>
    <w:p>
      <w:pPr>
        <w:ind w:right="680" w:firstLine="490"/>
        <w:spacing w:after="0" w:line="267" w:lineRule="auto"/>
        <w:rPr>
          <w:sz w:val="20"/>
          <w:szCs w:val="20"/>
          <w:color w:val="auto"/>
        </w:rPr>
      </w:pPr>
      <w:r>
        <w:rPr>
          <w:rFonts w:ascii="Arial" w:cs="Arial" w:eastAsia="Arial" w:hAnsi="Arial"/>
          <w:sz w:val="19"/>
          <w:szCs w:val="19"/>
          <w:color w:val="231F20"/>
        </w:rPr>
        <w:t>We have incurred significant operating losses to date. We expect that our operating expenses will increase significantly as we advance our current and future product candidates through preclinical, nonclinical, and clinical development, seek regulatory approval, and prepare for and, if approved, proceed to commercialization; acquire, discover, validate, and develop additional product candidates; obtain, maintain, protect and enforce our intellectual property portfolio; hire additional personnel; and incur costs associated with operating as a public company.</w:t>
      </w:r>
    </w:p>
    <w:p>
      <w:pPr>
        <w:sectPr>
          <w:pgSz w:w="11880" w:h="15480" w:orient="portrait"/>
          <w:cols w:equalWidth="0" w:num="1">
            <w:col w:w="10780"/>
          </w:cols>
          <w:pgMar w:left="540" w:top="754" w:right="5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10780"/>
          </w:cols>
          <w:pgMar w:left="540" w:top="754" w:right="560" w:bottom="0" w:gutter="0" w:footer="0" w:header="0"/>
          <w:type w:val="continuous"/>
        </w:sectPr>
      </w:pPr>
    </w:p>
    <w:bookmarkStart w:id="74" w:name="page75"/>
    <w:bookmarkEnd w:id="74"/>
    <w:p>
      <w:pPr>
        <w:ind w:firstLine="490"/>
        <w:spacing w:after="0" w:line="242" w:lineRule="auto"/>
        <w:rPr>
          <w:sz w:val="20"/>
          <w:szCs w:val="20"/>
          <w:color w:val="auto"/>
        </w:rPr>
      </w:pPr>
      <w:r>
        <w:rPr>
          <w:rFonts w:ascii="Arial" w:cs="Arial" w:eastAsia="Arial" w:hAnsi="Arial"/>
          <w:sz w:val="20"/>
          <w:szCs w:val="20"/>
          <w:color w:val="231F20"/>
        </w:rPr>
        <w:t>We do not have any products approved for sale and have not generated any revenue since inception. Our net losses were $35.2 million and $51.3 million for the years ended December 31, 2025 and 2024, respectively. As of December 31, 2025, we had an accumulated deficit of $241.0 million. We have funded our operations from the sale and issuance of redeemable convertible preferred stock and proceeds from our initial public offering (“IPO”), “at-the-market” equity offering program (“ATM Offering”) and an underwritten offering (the “Underwritten Offering”). From November 2019 through October 2020, we raised an aggregate of $12.0 million from the sale of Series A redeemable convertible preferred stock. In March 2021, we raised an aggregate of $80.0 million from the sale of Series B redeemable convertible preferred stock. In March and April 2022, we completed our IPO, with gross proceeds of $79.4 million and net proceeds of $70.4 million, net of underwriting discounts, commissions and offering expenses. In June 2023, we raised gross proceeds of $20.0 million from the ATM Offering and net proceeds of $19.1 million, after deducting commissions and offering expenses. In August 2023, we raised gross proceeds of $70.0 million from the Underwritten Offering and net proceeds of $65.5 million, after deducting commissions and offering expenses. In March 2026, we entered into a Securities Purchase Agreement with certain investors to sell through a private placement 8,245,611 shares of common stock at a price of $2.85 per share and pre-funded warrants to purchase up to 5,789,473 shares of common stock at a purchase price of $2.84999 per pre-funded warrant, resulting in aggregate gross proceeds of $40.0 million before deducting the placement agent’s fees and other offering expenses and excluding any proceeds we may receive upon exercise of the pre-funded warrants (the “Private Placement”).</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Financial Operations Overview</w:t>
      </w:r>
    </w:p>
    <w:p>
      <w:pPr>
        <w:spacing w:after="0" w:line="124" w:lineRule="exact"/>
        <w:rPr>
          <w:sz w:val="20"/>
          <w:szCs w:val="20"/>
          <w:color w:val="auto"/>
        </w:rPr>
      </w:pPr>
    </w:p>
    <w:p>
      <w:pPr>
        <w:ind w:right="340" w:firstLine="490"/>
        <w:spacing w:after="0" w:line="249" w:lineRule="exact"/>
        <w:rPr>
          <w:sz w:val="20"/>
          <w:szCs w:val="20"/>
          <w:color w:val="auto"/>
        </w:rPr>
      </w:pPr>
      <w:r>
        <w:rPr>
          <w:rFonts w:ascii="Arial" w:cs="Arial" w:eastAsia="Arial" w:hAnsi="Arial"/>
          <w:sz w:val="20"/>
          <w:szCs w:val="20"/>
          <w:color w:val="231F20"/>
        </w:rPr>
        <w:t>As of December 31, 2025, we had cash, cash equivalents and investments of $60.0 million. We believe that our available cash will be sufficient to fund our planned operations through at least twelve months following the date of this Form 10</w:t>
      </w:r>
      <w:r>
        <w:rPr>
          <w:rFonts w:ascii="MS Gothic" w:cs="MS Gothic" w:eastAsia="MS Gothic" w:hAnsi="MS Gothic"/>
          <w:sz w:val="20"/>
          <w:szCs w:val="20"/>
          <w:color w:val="231F20"/>
        </w:rPr>
        <w:t>‑</w:t>
      </w:r>
      <w:r>
        <w:rPr>
          <w:rFonts w:ascii="Arial" w:cs="Arial" w:eastAsia="Arial" w:hAnsi="Arial"/>
          <w:sz w:val="20"/>
          <w:szCs w:val="20"/>
          <w:color w:val="231F20"/>
        </w:rPr>
        <w:t>K.</w:t>
      </w:r>
    </w:p>
    <w:p>
      <w:pPr>
        <w:spacing w:after="0" w:line="215" w:lineRule="exact"/>
        <w:rPr>
          <w:sz w:val="20"/>
          <w:szCs w:val="20"/>
          <w:color w:val="auto"/>
        </w:rPr>
      </w:pPr>
    </w:p>
    <w:p>
      <w:pPr>
        <w:ind w:right="160" w:firstLine="490"/>
        <w:spacing w:after="0" w:line="247" w:lineRule="auto"/>
        <w:rPr>
          <w:sz w:val="20"/>
          <w:szCs w:val="20"/>
          <w:color w:val="auto"/>
        </w:rPr>
      </w:pPr>
      <w:r>
        <w:rPr>
          <w:rFonts w:ascii="Arial" w:cs="Arial" w:eastAsia="Arial" w:hAnsi="Arial"/>
          <w:sz w:val="20"/>
          <w:szCs w:val="20"/>
          <w:color w:val="231F20"/>
        </w:rPr>
        <w:t>Our ability to generate product revenue will depend on the successful development, regulatory approval and eventual commercialization of one or more of our product candidates. Until such time as we can generate revenue from our product sales, if ever, we expect to finance our operations through private or public equity or debt financings, collaborative or other arrangements with corporate sources, non-dilutive financing,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93" w:lineRule="exact"/>
        <w:rPr>
          <w:sz w:val="20"/>
          <w:szCs w:val="20"/>
          <w:color w:val="auto"/>
        </w:rPr>
      </w:pPr>
    </w:p>
    <w:p>
      <w:pPr>
        <w:ind w:right="180" w:firstLine="490"/>
        <w:spacing w:after="0" w:line="248" w:lineRule="auto"/>
        <w:rPr>
          <w:sz w:val="20"/>
          <w:szCs w:val="20"/>
          <w:color w:val="auto"/>
        </w:rPr>
      </w:pPr>
      <w:r>
        <w:rPr>
          <w:rFonts w:ascii="Arial" w:cs="Arial" w:eastAsia="Arial" w:hAnsi="Arial"/>
          <w:sz w:val="20"/>
          <w:szCs w:val="20"/>
          <w:color w:val="231F20"/>
        </w:rPr>
        <w:t>We plan to continue to use third-party service providers, including outside research laboratories, clinical research organizations (“CROs”), and contract manufacturing organizations (“CMOs”), to carry out our preclinical, nonclinical and clinical development, and to manufacture and supply the materials to be used during the development and commercialization of our product candidates. We do not currently have a sales force. If we obtain regulatory approval for any of our product candidates, we intend to hire and deploy a specialty sales force, which will increase our operating costs.</w:t>
      </w:r>
    </w:p>
    <w:p>
      <w:pPr>
        <w:spacing w:after="0" w:line="194"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color w:val="231F20"/>
        </w:rPr>
        <w:t>Due to ongoing developments in our business and clinical development and regulatory efforts, among other factors, our results of operations may vary substantially from year to year and from quarter to quarter and, as a result, we believe that period to period comparisons of our operating results may not be meaningful and should not be relied upon as being indicative of our future performance. For more information on the risks and uncertainties associated with our business and our clinical development and regulatory efforts, among other factors, see “Part I Item 1A—Risk Factors.”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Components of Our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Research and Development Expenses</w:t>
      </w:r>
    </w:p>
    <w:p>
      <w:pPr>
        <w:spacing w:after="0" w:line="112" w:lineRule="exact"/>
        <w:rPr>
          <w:sz w:val="20"/>
          <w:szCs w:val="20"/>
          <w:color w:val="auto"/>
        </w:rPr>
      </w:pPr>
    </w:p>
    <w:p>
      <w:pPr>
        <w:jc w:val="both"/>
        <w:ind w:right="440" w:firstLine="490"/>
        <w:spacing w:after="0" w:line="262" w:lineRule="auto"/>
        <w:rPr>
          <w:sz w:val="20"/>
          <w:szCs w:val="20"/>
          <w:color w:val="auto"/>
        </w:rPr>
      </w:pPr>
      <w:r>
        <w:rPr>
          <w:rFonts w:ascii="Arial" w:cs="Arial" w:eastAsia="Arial" w:hAnsi="Arial"/>
          <w:sz w:val="19"/>
          <w:szCs w:val="19"/>
          <w:color w:val="231F20"/>
        </w:rPr>
        <w:t>Substantially all of our research and development expenses consist of expenses incurred in connection with the development of our product candidates. These expenses include fees incurred under arrangements with third parties, including CROs, CMOs, preclinical and nonclinical testing organizations, and academic and non-profit institutions.</w:t>
      </w:r>
    </w:p>
    <w:p>
      <w:pPr>
        <w:ind w:right="100"/>
        <w:spacing w:after="0" w:line="245" w:lineRule="auto"/>
        <w:rPr>
          <w:sz w:val="20"/>
          <w:szCs w:val="20"/>
          <w:color w:val="auto"/>
        </w:rPr>
      </w:pPr>
      <w:r>
        <w:rPr>
          <w:rFonts w:ascii="Arial" w:cs="Arial" w:eastAsia="Arial" w:hAnsi="Arial"/>
          <w:sz w:val="20"/>
          <w:szCs w:val="20"/>
          <w:color w:val="231F20"/>
        </w:rPr>
        <w:t>Research and development expenses also include consulting fees, license fees, payroll and personnel-related expenses, including salaries and bonuses, payroll taxes, employee benefit costs and non-cash stock-based compensation for our research and development employees. We expense both internal and external research and development expenses as they are incurred.</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10800"/>
          </w:cols>
          <w:pgMar w:left="540" w:top="750" w:right="540" w:bottom="0" w:gutter="0" w:footer="0" w:header="0"/>
          <w:type w:val="continuous"/>
        </w:sectPr>
      </w:pPr>
    </w:p>
    <w:bookmarkStart w:id="75" w:name="page76"/>
    <w:bookmarkEnd w:id="75"/>
    <w:p>
      <w:pPr>
        <w:ind w:right="160" w:firstLine="490"/>
        <w:spacing w:after="0" w:line="256" w:lineRule="auto"/>
        <w:rPr>
          <w:sz w:val="20"/>
          <w:szCs w:val="20"/>
          <w:color w:val="auto"/>
        </w:rPr>
      </w:pPr>
      <w:r>
        <w:rPr>
          <w:rFonts w:ascii="Arial" w:cs="Arial" w:eastAsia="Arial" w:hAnsi="Arial"/>
          <w:sz w:val="19"/>
          <w:szCs w:val="19"/>
          <w:color w:val="231F20"/>
        </w:rPr>
        <w:t>We expect our research and development expenses to increase substantially in the future, as we advance our product candidates into and through clinical trials and pursue regulatory approval. The process of conducting the necessary clinical studies to obtain regulatory approval is costly and time-consuming. Clinical studies generally become larger and more costly to conduct as they advance into later stages and we are required to make estimates for expense accruals related to clinical study expenses, which involve a degree of estimation. The successful development of our product candidates is highly uncertain. The actual probability of success for our product candidates may be affected by a variety of risks and uncertainties associated with drug development, including those set forth in the section of this Form</w:t>
      </w:r>
    </w:p>
    <w:p>
      <w:pPr>
        <w:spacing w:after="0" w:line="5"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231F20"/>
        </w:rPr>
        <w:t>10-K titled “Risk Factors.” At this time, we cannot reasonably estimate the nature, timing or costs required to complete the remaining development of our current or any future product candidates. As a result of these uncertainties, we are unable to determine the duration and completion costs of our research and development projects or when and to what extent we will generate revenue from the commercialization and sale of our product candidates.</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General and Administrative Expenses</w:t>
      </w:r>
    </w:p>
    <w:p>
      <w:pPr>
        <w:spacing w:after="0" w:line="112"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231F20"/>
        </w:rPr>
        <w:t xml:space="preserve">Our general and administrative expenses consist primarily of payroll and personnel-related expenses, including salaries and bonuses, payroll taxes, employee benefit costs, and non-cash stock-based compensation. Other general and administrative expenses include legal costs of pursuing patent protection of our intellectual property, and professional service fees for auditing, tax, general legal services, and other external consulting and vendor services. We expect our general and administrative expenses to continue to increase in the future, including expenses related to legal, accounting, regulatory, and tax-related services associated with maintaining compliance with requirements of the </w:t>
      </w:r>
      <w:r>
        <w:rPr>
          <w:rFonts w:ascii="Arial" w:cs="Arial" w:eastAsia="Arial" w:hAnsi="Arial"/>
          <w:sz w:val="20"/>
          <w:szCs w:val="20"/>
          <w:color w:val="5F6062"/>
        </w:rPr>
        <w:t>Nasdaq Global</w:t>
      </w:r>
      <w:r>
        <w:rPr>
          <w:rFonts w:ascii="Arial" w:cs="Arial" w:eastAsia="Arial" w:hAnsi="Arial"/>
          <w:sz w:val="20"/>
          <w:szCs w:val="20"/>
          <w:color w:val="231F20"/>
        </w:rPr>
        <w:t xml:space="preserve"> </w:t>
      </w:r>
      <w:r>
        <w:rPr>
          <w:rFonts w:ascii="Arial" w:cs="Arial" w:eastAsia="Arial" w:hAnsi="Arial"/>
          <w:sz w:val="20"/>
          <w:szCs w:val="20"/>
          <w:color w:val="5F6062"/>
        </w:rPr>
        <w:t xml:space="preserve">Select Market </w:t>
      </w:r>
      <w:r>
        <w:rPr>
          <w:rFonts w:ascii="Arial" w:cs="Arial" w:eastAsia="Arial" w:hAnsi="Arial"/>
          <w:sz w:val="20"/>
          <w:szCs w:val="20"/>
          <w:color w:val="231F20"/>
        </w:rPr>
        <w:t>and the Securities and Exchange Commission (“SEC”), directors and officers liability insurance premiums,</w:t>
      </w:r>
      <w:r>
        <w:rPr>
          <w:rFonts w:ascii="Arial" w:cs="Arial" w:eastAsia="Arial" w:hAnsi="Arial"/>
          <w:sz w:val="20"/>
          <w:szCs w:val="20"/>
          <w:color w:val="5F6062"/>
        </w:rPr>
        <w:t xml:space="preserve"> </w:t>
      </w:r>
      <w:r>
        <w:rPr>
          <w:rFonts w:ascii="Arial" w:cs="Arial" w:eastAsia="Arial" w:hAnsi="Arial"/>
          <w:sz w:val="20"/>
          <w:szCs w:val="20"/>
          <w:color w:val="231F20"/>
        </w:rPr>
        <w:t>and investor relations activities.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Restructuring Charges</w:t>
      </w:r>
    </w:p>
    <w:p>
      <w:pPr>
        <w:spacing w:after="0" w:line="112" w:lineRule="exact"/>
        <w:rPr>
          <w:sz w:val="20"/>
          <w:szCs w:val="20"/>
          <w:color w:val="auto"/>
        </w:rPr>
      </w:pPr>
    </w:p>
    <w:p>
      <w:pPr>
        <w:ind w:right="580" w:firstLine="490"/>
        <w:spacing w:after="0" w:line="282" w:lineRule="auto"/>
        <w:rPr>
          <w:sz w:val="20"/>
          <w:szCs w:val="20"/>
          <w:color w:val="auto"/>
        </w:rPr>
      </w:pPr>
      <w:r>
        <w:rPr>
          <w:rFonts w:ascii="Arial" w:cs="Arial" w:eastAsia="Arial" w:hAnsi="Arial"/>
          <w:sz w:val="20"/>
          <w:szCs w:val="20"/>
          <w:color w:val="231F20"/>
        </w:rPr>
        <w:t>Our restructuring charges consist primarily of employee severance payments and other employee termination-related expenses.</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Interest Income</w:t>
      </w:r>
    </w:p>
    <w:p>
      <w:pPr>
        <w:spacing w:after="0" w:line="112" w:lineRule="exact"/>
        <w:rPr>
          <w:sz w:val="20"/>
          <w:szCs w:val="20"/>
          <w:color w:val="auto"/>
        </w:rPr>
      </w:pPr>
    </w:p>
    <w:p>
      <w:pPr>
        <w:ind w:right="600" w:firstLine="490"/>
        <w:spacing w:after="0" w:line="282" w:lineRule="auto"/>
        <w:rPr>
          <w:sz w:val="20"/>
          <w:szCs w:val="20"/>
          <w:color w:val="auto"/>
        </w:rPr>
      </w:pPr>
      <w:r>
        <w:rPr>
          <w:rFonts w:ascii="Arial" w:cs="Arial" w:eastAsia="Arial" w:hAnsi="Arial"/>
          <w:sz w:val="20"/>
          <w:szCs w:val="20"/>
          <w:color w:val="231F20"/>
        </w:rPr>
        <w:t>Interest income consists of interest income and investment income earned on our cash, cash equivalents, and investments.</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Other Income</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Other income consists of income associated with foreign currency fluctuations.</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Comparison of the Years Ended December 31, 2025 and 2024</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The following table sets forth the significant components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4"/>
          </w:tcPr>
          <w:p>
            <w:pPr>
              <w:jc w:val="right"/>
              <w:ind w:right="90"/>
              <w:spacing w:after="0"/>
              <w:rPr>
                <w:sz w:val="20"/>
                <w:szCs w:val="20"/>
                <w:color w:val="auto"/>
              </w:rPr>
            </w:pPr>
            <w:r>
              <w:rPr>
                <w:rFonts w:ascii="Arial" w:cs="Arial" w:eastAsia="Arial" w:hAnsi="Arial"/>
                <w:sz w:val="16"/>
                <w:szCs w:val="16"/>
                <w:b w:val="1"/>
                <w:bCs w:val="1"/>
                <w:color w:val="231F20"/>
              </w:rPr>
              <w:t>Year Ended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3"/>
        </w:trPr>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4"/>
          </w:tcPr>
          <w:p>
            <w:pPr>
              <w:jc w:val="right"/>
              <w:ind w:right="10"/>
              <w:spacing w:after="0"/>
              <w:rPr>
                <w:sz w:val="20"/>
                <w:szCs w:val="20"/>
                <w:color w:val="auto"/>
              </w:rPr>
            </w:pPr>
            <w:r>
              <w:rPr>
                <w:rFonts w:ascii="Arial" w:cs="Arial" w:eastAsia="Arial" w:hAnsi="Arial"/>
                <w:sz w:val="16"/>
                <w:szCs w:val="16"/>
                <w:b w:val="1"/>
                <w:bCs w:val="1"/>
                <w:color w:val="231F20"/>
              </w:rPr>
              <w:t>December 31,</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3"/>
        </w:trPr>
        <w:tc>
          <w:tcPr>
            <w:tcW w:w="3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585"/>
              <w:spacing w:after="0"/>
              <w:rPr>
                <w:sz w:val="20"/>
                <w:szCs w:val="20"/>
                <w:color w:val="auto"/>
              </w:rPr>
            </w:pPr>
            <w:r>
              <w:rPr>
                <w:rFonts w:ascii="Arial" w:cs="Arial" w:eastAsia="Arial" w:hAnsi="Arial"/>
                <w:sz w:val="16"/>
                <w:szCs w:val="16"/>
                <w:b w:val="1"/>
                <w:bCs w:val="1"/>
                <w:color w:val="231F20"/>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602"/>
              <w:spacing w:after="0"/>
              <w:rPr>
                <w:sz w:val="20"/>
                <w:szCs w:val="20"/>
                <w:color w:val="auto"/>
              </w:rPr>
            </w:pPr>
            <w:r>
              <w:rPr>
                <w:rFonts w:ascii="Arial" w:cs="Arial" w:eastAsia="Arial" w:hAnsi="Arial"/>
                <w:sz w:val="16"/>
                <w:szCs w:val="16"/>
                <w:b w:val="1"/>
                <w:bCs w:val="1"/>
                <w:color w:val="231F20"/>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jc w:val="right"/>
              <w:ind w:right="462"/>
              <w:spacing w:after="0"/>
              <w:rPr>
                <w:sz w:val="20"/>
                <w:szCs w:val="20"/>
                <w:color w:val="auto"/>
              </w:rPr>
            </w:pPr>
            <w:r>
              <w:rPr>
                <w:rFonts w:ascii="Arial" w:cs="Arial" w:eastAsia="Arial" w:hAnsi="Arial"/>
                <w:sz w:val="16"/>
                <w:szCs w:val="16"/>
                <w:b w:val="1"/>
                <w:bCs w:val="1"/>
                <w:color w:val="231F20"/>
              </w:rPr>
              <w:t>Change</w:t>
            </w:r>
          </w:p>
        </w:tc>
        <w:tc>
          <w:tcPr>
            <w:tcW w:w="180" w:type="dxa"/>
            <w:vAlign w:val="bottom"/>
          </w:tcPr>
          <w:p>
            <w:pPr>
              <w:spacing w:after="0"/>
              <w:rPr>
                <w:sz w:val="17"/>
                <w:szCs w:val="17"/>
                <w:color w:val="auto"/>
              </w:rPr>
            </w:pPr>
          </w:p>
        </w:tc>
        <w:tc>
          <w:tcPr>
            <w:tcW w:w="1640" w:type="dxa"/>
            <w:vAlign w:val="bottom"/>
            <w:tcBorders>
              <w:bottom w:val="single" w:sz="8" w:color="231F20"/>
            </w:tcBorders>
          </w:tcPr>
          <w:p>
            <w:pPr>
              <w:jc w:val="right"/>
              <w:ind w:right="520"/>
              <w:spacing w:after="0"/>
              <w:rPr>
                <w:sz w:val="20"/>
                <w:szCs w:val="20"/>
                <w:color w:val="auto"/>
              </w:rPr>
            </w:pPr>
            <w:r>
              <w:rPr>
                <w:rFonts w:ascii="Arial" w:cs="Arial" w:eastAsia="Arial" w:hAnsi="Arial"/>
                <w:sz w:val="16"/>
                <w:szCs w:val="16"/>
                <w:b w:val="1"/>
                <w:bCs w:val="1"/>
                <w:color w:val="231F20"/>
              </w:rPr>
              <w:t>% Change</w:t>
            </w:r>
          </w:p>
        </w:tc>
      </w:tr>
      <w:tr>
        <w:trPr>
          <w:trHeight w:val="193"/>
        </w:trPr>
        <w:tc>
          <w:tcPr>
            <w:tcW w:w="3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6"/>
          </w:tcPr>
          <w:p>
            <w:pPr>
              <w:jc w:val="right"/>
              <w:ind w:right="402"/>
              <w:spacing w:after="0"/>
              <w:rPr>
                <w:sz w:val="20"/>
                <w:szCs w:val="20"/>
                <w:color w:val="auto"/>
              </w:rPr>
            </w:pPr>
            <w:r>
              <w:rPr>
                <w:rFonts w:ascii="Arial" w:cs="Arial" w:eastAsia="Arial" w:hAnsi="Arial"/>
                <w:sz w:val="16"/>
                <w:szCs w:val="16"/>
                <w:b w:val="1"/>
                <w:bCs w:val="1"/>
                <w:color w:val="231F20"/>
              </w:rPr>
              <w:t>(in thousands, except percentages)</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44"/>
        </w:trPr>
        <w:tc>
          <w:tcPr>
            <w:tcW w:w="3300" w:type="dxa"/>
            <w:vAlign w:val="bottom"/>
            <w:shd w:val="clear" w:color="auto" w:fill="EBECEC"/>
          </w:tcPr>
          <w:p>
            <w:pPr>
              <w:spacing w:after="0"/>
              <w:rPr>
                <w:sz w:val="20"/>
                <w:szCs w:val="20"/>
                <w:color w:val="auto"/>
              </w:rPr>
            </w:pPr>
            <w:r>
              <w:rPr>
                <w:rFonts w:ascii="Arial" w:cs="Arial" w:eastAsia="Arial" w:hAnsi="Arial"/>
                <w:sz w:val="20"/>
                <w:szCs w:val="20"/>
                <w:color w:val="231F20"/>
              </w:rPr>
              <w:t>Operating Expenses:</w:t>
            </w:r>
          </w:p>
        </w:tc>
        <w:tc>
          <w:tcPr>
            <w:tcW w:w="50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6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460" w:type="dxa"/>
            <w:vAlign w:val="bottom"/>
            <w:shd w:val="clear" w:color="auto" w:fill="EBECEC"/>
          </w:tcPr>
          <w:p>
            <w:pPr>
              <w:spacing w:after="0"/>
              <w:rPr>
                <w:sz w:val="21"/>
                <w:szCs w:val="21"/>
                <w:color w:val="auto"/>
              </w:rPr>
            </w:pPr>
          </w:p>
        </w:tc>
        <w:tc>
          <w:tcPr>
            <w:tcW w:w="114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132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1640" w:type="dxa"/>
            <w:vAlign w:val="bottom"/>
            <w:shd w:val="clear" w:color="auto" w:fill="EBECEC"/>
          </w:tcPr>
          <w:p>
            <w:pPr>
              <w:spacing w:after="0"/>
              <w:rPr>
                <w:sz w:val="21"/>
                <w:szCs w:val="21"/>
                <w:color w:val="auto"/>
              </w:rPr>
            </w:pPr>
          </w:p>
        </w:tc>
      </w:tr>
      <w:tr>
        <w:trPr>
          <w:trHeight w:val="244"/>
        </w:trPr>
        <w:tc>
          <w:tcPr>
            <w:tcW w:w="3300" w:type="dxa"/>
            <w:vAlign w:val="bottom"/>
          </w:tcPr>
          <w:p>
            <w:pPr>
              <w:ind w:left="280"/>
              <w:spacing w:after="0"/>
              <w:rPr>
                <w:sz w:val="20"/>
                <w:szCs w:val="20"/>
                <w:color w:val="auto"/>
              </w:rPr>
            </w:pPr>
            <w:r>
              <w:rPr>
                <w:rFonts w:ascii="Arial" w:cs="Arial" w:eastAsia="Arial" w:hAnsi="Arial"/>
                <w:sz w:val="20"/>
                <w:szCs w:val="20"/>
                <w:color w:val="231F20"/>
              </w:rPr>
              <w:t>Research and development</w:t>
            </w:r>
          </w:p>
        </w:tc>
        <w:tc>
          <w:tcPr>
            <w:tcW w:w="84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1260" w:type="dxa"/>
            <w:vAlign w:val="bottom"/>
          </w:tcPr>
          <w:p>
            <w:pPr>
              <w:jc w:val="right"/>
              <w:ind w:right="25"/>
              <w:spacing w:after="0"/>
              <w:rPr>
                <w:sz w:val="20"/>
                <w:szCs w:val="20"/>
                <w:color w:val="auto"/>
              </w:rPr>
            </w:pPr>
            <w:r>
              <w:rPr>
                <w:rFonts w:ascii="Arial" w:cs="Arial" w:eastAsia="Arial" w:hAnsi="Arial"/>
                <w:sz w:val="20"/>
                <w:szCs w:val="20"/>
                <w:color w:val="231F20"/>
              </w:rPr>
              <w:t>24,769</w:t>
            </w:r>
          </w:p>
        </w:tc>
        <w:tc>
          <w:tcPr>
            <w:tcW w:w="660" w:type="dxa"/>
            <w:vAlign w:val="bottom"/>
            <w:gridSpan w:val="3"/>
          </w:tcPr>
          <w:p>
            <w:pPr>
              <w:jc w:val="right"/>
              <w:ind w:right="270"/>
              <w:spacing w:after="0"/>
              <w:rPr>
                <w:sz w:val="20"/>
                <w:szCs w:val="20"/>
                <w:color w:val="auto"/>
              </w:rPr>
            </w:pPr>
            <w:r>
              <w:rPr>
                <w:rFonts w:ascii="Arial" w:cs="Arial" w:eastAsia="Arial" w:hAnsi="Arial"/>
                <w:sz w:val="20"/>
                <w:szCs w:val="20"/>
                <w:color w:val="231F20"/>
              </w:rPr>
              <w:t>$</w:t>
            </w:r>
          </w:p>
        </w:tc>
        <w:tc>
          <w:tcPr>
            <w:tcW w:w="1140" w:type="dxa"/>
            <w:vAlign w:val="bottom"/>
          </w:tcPr>
          <w:p>
            <w:pPr>
              <w:jc w:val="right"/>
              <w:ind w:right="22"/>
              <w:spacing w:after="0"/>
              <w:rPr>
                <w:sz w:val="20"/>
                <w:szCs w:val="20"/>
                <w:color w:val="auto"/>
              </w:rPr>
            </w:pPr>
            <w:r>
              <w:rPr>
                <w:rFonts w:ascii="Arial" w:cs="Arial" w:eastAsia="Arial" w:hAnsi="Arial"/>
                <w:sz w:val="20"/>
                <w:szCs w:val="20"/>
                <w:color w:val="231F20"/>
              </w:rPr>
              <w:t>40,488</w:t>
            </w:r>
          </w:p>
        </w:tc>
        <w:tc>
          <w:tcPr>
            <w:tcW w:w="460" w:type="dxa"/>
            <w:vAlign w:val="bottom"/>
            <w:gridSpan w:val="3"/>
          </w:tcPr>
          <w:p>
            <w:pPr>
              <w:jc w:val="right"/>
              <w:ind w:right="105"/>
              <w:spacing w:after="0"/>
              <w:rPr>
                <w:sz w:val="20"/>
                <w:szCs w:val="20"/>
                <w:color w:val="auto"/>
              </w:rPr>
            </w:pPr>
            <w:r>
              <w:rPr>
                <w:rFonts w:ascii="Arial" w:cs="Arial" w:eastAsia="Arial" w:hAnsi="Arial"/>
                <w:sz w:val="20"/>
                <w:szCs w:val="20"/>
                <w:color w:val="231F20"/>
              </w:rPr>
              <w:t>$</w:t>
            </w:r>
          </w:p>
        </w:tc>
        <w:tc>
          <w:tcPr>
            <w:tcW w:w="1320" w:type="dxa"/>
            <w:vAlign w:val="bottom"/>
          </w:tcPr>
          <w:p>
            <w:pPr>
              <w:jc w:val="right"/>
              <w:spacing w:after="0"/>
              <w:rPr>
                <w:sz w:val="20"/>
                <w:szCs w:val="20"/>
                <w:color w:val="auto"/>
              </w:rPr>
            </w:pPr>
            <w:r>
              <w:rPr>
                <w:rFonts w:ascii="Arial" w:cs="Arial" w:eastAsia="Arial" w:hAnsi="Arial"/>
                <w:sz w:val="20"/>
                <w:szCs w:val="20"/>
                <w:color w:val="231F20"/>
              </w:rPr>
              <w:t>(15,719)</w:t>
            </w:r>
          </w:p>
        </w:tc>
        <w:tc>
          <w:tcPr>
            <w:tcW w:w="1820" w:type="dxa"/>
            <w:vAlign w:val="bottom"/>
            <w:gridSpan w:val="2"/>
          </w:tcPr>
          <w:p>
            <w:pPr>
              <w:jc w:val="right"/>
              <w:spacing w:after="0"/>
              <w:rPr>
                <w:sz w:val="20"/>
                <w:szCs w:val="20"/>
                <w:color w:val="auto"/>
              </w:rPr>
            </w:pPr>
            <w:r>
              <w:rPr>
                <w:rFonts w:ascii="Arial" w:cs="Arial" w:eastAsia="Arial" w:hAnsi="Arial"/>
                <w:sz w:val="20"/>
                <w:szCs w:val="20"/>
                <w:color w:val="231F20"/>
              </w:rPr>
              <w:t>(39%)</w:t>
            </w:r>
          </w:p>
        </w:tc>
      </w:tr>
      <w:tr>
        <w:trPr>
          <w:trHeight w:val="244"/>
        </w:trPr>
        <w:tc>
          <w:tcPr>
            <w:tcW w:w="330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General and administrative</w:t>
            </w:r>
          </w:p>
        </w:tc>
        <w:tc>
          <w:tcPr>
            <w:tcW w:w="50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60" w:type="dxa"/>
            <w:vAlign w:val="bottom"/>
            <w:shd w:val="clear" w:color="auto" w:fill="EBECEC"/>
          </w:tcPr>
          <w:p>
            <w:pPr>
              <w:jc w:val="right"/>
              <w:ind w:right="25"/>
              <w:spacing w:after="0"/>
              <w:rPr>
                <w:sz w:val="20"/>
                <w:szCs w:val="20"/>
                <w:color w:val="auto"/>
              </w:rPr>
            </w:pPr>
            <w:r>
              <w:rPr>
                <w:rFonts w:ascii="Arial" w:cs="Arial" w:eastAsia="Arial" w:hAnsi="Arial"/>
                <w:sz w:val="20"/>
                <w:szCs w:val="20"/>
                <w:color w:val="231F20"/>
              </w:rPr>
              <w:t>13,340</w:t>
            </w:r>
          </w:p>
        </w:tc>
        <w:tc>
          <w:tcPr>
            <w:tcW w:w="18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460" w:type="dxa"/>
            <w:vAlign w:val="bottom"/>
            <w:shd w:val="clear" w:color="auto" w:fill="EBECEC"/>
          </w:tcPr>
          <w:p>
            <w:pPr>
              <w:spacing w:after="0"/>
              <w:rPr>
                <w:sz w:val="21"/>
                <w:szCs w:val="21"/>
                <w:color w:val="auto"/>
              </w:rPr>
            </w:pPr>
          </w:p>
        </w:tc>
        <w:tc>
          <w:tcPr>
            <w:tcW w:w="1140" w:type="dxa"/>
            <w:vAlign w:val="bottom"/>
            <w:shd w:val="clear" w:color="auto" w:fill="EBECEC"/>
          </w:tcPr>
          <w:p>
            <w:pPr>
              <w:jc w:val="right"/>
              <w:ind w:right="22"/>
              <w:spacing w:after="0"/>
              <w:rPr>
                <w:sz w:val="20"/>
                <w:szCs w:val="20"/>
                <w:color w:val="auto"/>
              </w:rPr>
            </w:pPr>
            <w:r>
              <w:rPr>
                <w:rFonts w:ascii="Arial" w:cs="Arial" w:eastAsia="Arial" w:hAnsi="Arial"/>
                <w:sz w:val="20"/>
                <w:szCs w:val="20"/>
                <w:color w:val="231F20"/>
              </w:rPr>
              <w:t>14,066</w:t>
            </w:r>
          </w:p>
        </w:tc>
        <w:tc>
          <w:tcPr>
            <w:tcW w:w="18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132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(726)</w:t>
            </w:r>
          </w:p>
        </w:tc>
        <w:tc>
          <w:tcPr>
            <w:tcW w:w="1820" w:type="dxa"/>
            <w:vAlign w:val="bottom"/>
            <w:gridSpan w:val="2"/>
            <w:shd w:val="clear" w:color="auto" w:fill="EBECEC"/>
          </w:tcPr>
          <w:p>
            <w:pPr>
              <w:jc w:val="right"/>
              <w:spacing w:after="0"/>
              <w:rPr>
                <w:sz w:val="20"/>
                <w:szCs w:val="20"/>
                <w:color w:val="auto"/>
              </w:rPr>
            </w:pPr>
            <w:r>
              <w:rPr>
                <w:rFonts w:ascii="Arial" w:cs="Arial" w:eastAsia="Arial" w:hAnsi="Arial"/>
                <w:sz w:val="20"/>
                <w:szCs w:val="20"/>
                <w:color w:val="231F20"/>
              </w:rPr>
              <w:t>(5%)</w:t>
            </w:r>
          </w:p>
        </w:tc>
      </w:tr>
      <w:tr>
        <w:trPr>
          <w:trHeight w:val="244"/>
        </w:trPr>
        <w:tc>
          <w:tcPr>
            <w:tcW w:w="3300" w:type="dxa"/>
            <w:vAlign w:val="bottom"/>
            <w:tcBorders>
              <w:bottom w:val="single" w:sz="8" w:color="EBECEC"/>
            </w:tcBorders>
          </w:tcPr>
          <w:p>
            <w:pPr>
              <w:ind w:left="280"/>
              <w:spacing w:after="0"/>
              <w:rPr>
                <w:sz w:val="20"/>
                <w:szCs w:val="20"/>
                <w:color w:val="auto"/>
              </w:rPr>
            </w:pPr>
            <w:r>
              <w:rPr>
                <w:rFonts w:ascii="Arial" w:cs="Arial" w:eastAsia="Arial" w:hAnsi="Arial"/>
                <w:sz w:val="20"/>
                <w:szCs w:val="20"/>
                <w:color w:val="231F20"/>
              </w:rPr>
              <w:t>Restructuring charges</w:t>
            </w:r>
          </w:p>
        </w:tc>
        <w:tc>
          <w:tcPr>
            <w:tcW w:w="500" w:type="dxa"/>
            <w:vAlign w:val="bottom"/>
            <w:tcBorders>
              <w:bottom w:val="single" w:sz="8" w:color="EBECEC"/>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260" w:type="dxa"/>
            <w:vAlign w:val="bottom"/>
            <w:tcBorders>
              <w:bottom w:val="single" w:sz="8" w:color="231F20"/>
            </w:tcBorders>
          </w:tcPr>
          <w:p>
            <w:pPr>
              <w:jc w:val="right"/>
              <w:ind w:right="25"/>
              <w:spacing w:after="0"/>
              <w:rPr>
                <w:sz w:val="20"/>
                <w:szCs w:val="20"/>
                <w:color w:val="auto"/>
              </w:rPr>
            </w:pPr>
            <w:r>
              <w:rPr>
                <w:rFonts w:ascii="Arial" w:cs="Arial" w:eastAsia="Arial" w:hAnsi="Arial"/>
                <w:sz w:val="20"/>
                <w:szCs w:val="20"/>
                <w:color w:val="231F20"/>
              </w:rPr>
              <w:t>—</w:t>
            </w:r>
          </w:p>
        </w:tc>
        <w:tc>
          <w:tcPr>
            <w:tcW w:w="180" w:type="dxa"/>
            <w:vAlign w:val="bottom"/>
            <w:tcBorders>
              <w:bottom w:val="single" w:sz="8" w:color="EBECEC"/>
            </w:tcBorders>
          </w:tcPr>
          <w:p>
            <w:pPr>
              <w:spacing w:after="0"/>
              <w:rPr>
                <w:sz w:val="21"/>
                <w:szCs w:val="21"/>
                <w:color w:val="auto"/>
              </w:rPr>
            </w:pPr>
          </w:p>
        </w:tc>
        <w:tc>
          <w:tcPr>
            <w:tcW w:w="20" w:type="dxa"/>
            <w:vAlign w:val="bottom"/>
            <w:tcBorders>
              <w:bottom w:val="single" w:sz="8" w:color="EBECEC"/>
            </w:tcBorders>
          </w:tcPr>
          <w:p>
            <w:pPr>
              <w:spacing w:after="0"/>
              <w:rPr>
                <w:sz w:val="21"/>
                <w:szCs w:val="21"/>
                <w:color w:val="auto"/>
              </w:rPr>
            </w:pPr>
          </w:p>
        </w:tc>
        <w:tc>
          <w:tcPr>
            <w:tcW w:w="46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ind w:right="22"/>
              <w:spacing w:after="0"/>
              <w:rPr>
                <w:sz w:val="20"/>
                <w:szCs w:val="20"/>
                <w:color w:val="auto"/>
              </w:rPr>
            </w:pPr>
            <w:r>
              <w:rPr>
                <w:rFonts w:ascii="Arial" w:cs="Arial" w:eastAsia="Arial" w:hAnsi="Arial"/>
                <w:sz w:val="20"/>
                <w:szCs w:val="20"/>
                <w:color w:val="231F20"/>
              </w:rPr>
              <w:t>2,234</w:t>
            </w:r>
          </w:p>
        </w:tc>
        <w:tc>
          <w:tcPr>
            <w:tcW w:w="180" w:type="dxa"/>
            <w:vAlign w:val="bottom"/>
            <w:tcBorders>
              <w:bottom w:val="single" w:sz="8" w:color="EBECEC"/>
            </w:tcBorders>
          </w:tcPr>
          <w:p>
            <w:pPr>
              <w:spacing w:after="0"/>
              <w:rPr>
                <w:sz w:val="21"/>
                <w:szCs w:val="21"/>
                <w:color w:val="auto"/>
              </w:rPr>
            </w:pPr>
          </w:p>
        </w:tc>
        <w:tc>
          <w:tcPr>
            <w:tcW w:w="20" w:type="dxa"/>
            <w:vAlign w:val="bottom"/>
            <w:tcBorders>
              <w:bottom w:val="single" w:sz="8" w:color="EBECEC"/>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(2,234)</w:t>
            </w:r>
          </w:p>
        </w:tc>
        <w:tc>
          <w:tcPr>
            <w:tcW w:w="1820" w:type="dxa"/>
            <w:vAlign w:val="bottom"/>
            <w:tcBorders>
              <w:bottom w:val="single" w:sz="8" w:color="EBECEC"/>
            </w:tcBorders>
            <w:gridSpan w:val="2"/>
          </w:tcPr>
          <w:p>
            <w:pPr>
              <w:jc w:val="right"/>
              <w:spacing w:after="0"/>
              <w:rPr>
                <w:sz w:val="20"/>
                <w:szCs w:val="20"/>
                <w:color w:val="auto"/>
              </w:rPr>
            </w:pPr>
            <w:r>
              <w:rPr>
                <w:rFonts w:ascii="Arial" w:cs="Arial" w:eastAsia="Arial" w:hAnsi="Arial"/>
                <w:sz w:val="20"/>
                <w:szCs w:val="20"/>
                <w:color w:val="231F20"/>
              </w:rPr>
              <w:t>(100%)</w:t>
            </w:r>
          </w:p>
        </w:tc>
      </w:tr>
      <w:tr>
        <w:trPr>
          <w:trHeight w:val="239"/>
        </w:trPr>
        <w:tc>
          <w:tcPr>
            <w:tcW w:w="3300" w:type="dxa"/>
            <w:vAlign w:val="bottom"/>
            <w:shd w:val="clear" w:color="auto" w:fill="EBECEC"/>
          </w:tcPr>
          <w:p>
            <w:pPr>
              <w:ind w:left="560"/>
              <w:spacing w:after="0"/>
              <w:rPr>
                <w:sz w:val="20"/>
                <w:szCs w:val="20"/>
                <w:color w:val="auto"/>
              </w:rPr>
            </w:pPr>
            <w:r>
              <w:rPr>
                <w:rFonts w:ascii="Arial" w:cs="Arial" w:eastAsia="Arial" w:hAnsi="Arial"/>
                <w:sz w:val="20"/>
                <w:szCs w:val="20"/>
                <w:color w:val="231F20"/>
              </w:rPr>
              <w:t>Total operating expenses</w:t>
            </w:r>
          </w:p>
        </w:tc>
        <w:tc>
          <w:tcPr>
            <w:tcW w:w="500" w:type="dxa"/>
            <w:vAlign w:val="bottom"/>
            <w:shd w:val="clear" w:color="auto" w:fill="EBECEC"/>
          </w:tcPr>
          <w:p>
            <w:pPr>
              <w:spacing w:after="0"/>
              <w:rPr>
                <w:sz w:val="20"/>
                <w:szCs w:val="20"/>
                <w:color w:val="auto"/>
              </w:rPr>
            </w:pPr>
          </w:p>
        </w:tc>
        <w:tc>
          <w:tcPr>
            <w:tcW w:w="340" w:type="dxa"/>
            <w:vAlign w:val="bottom"/>
            <w:tcBorders>
              <w:bottom w:val="single" w:sz="8" w:color="231F20"/>
            </w:tcBorders>
            <w:shd w:val="clear" w:color="auto" w:fill="EBECEC"/>
          </w:tcPr>
          <w:p>
            <w:pPr>
              <w:spacing w:after="0"/>
              <w:rPr>
                <w:sz w:val="20"/>
                <w:szCs w:val="20"/>
                <w:color w:val="auto"/>
              </w:rPr>
            </w:pPr>
          </w:p>
        </w:tc>
        <w:tc>
          <w:tcPr>
            <w:tcW w:w="1260" w:type="dxa"/>
            <w:vAlign w:val="bottom"/>
            <w:tcBorders>
              <w:bottom w:val="single" w:sz="8" w:color="231F20"/>
            </w:tcBorders>
            <w:shd w:val="clear" w:color="auto" w:fill="EBECEC"/>
          </w:tcPr>
          <w:p>
            <w:pPr>
              <w:jc w:val="right"/>
              <w:ind w:right="25"/>
              <w:spacing w:after="0"/>
              <w:rPr>
                <w:sz w:val="20"/>
                <w:szCs w:val="20"/>
                <w:color w:val="auto"/>
              </w:rPr>
            </w:pPr>
            <w:r>
              <w:rPr>
                <w:rFonts w:ascii="Arial" w:cs="Arial" w:eastAsia="Arial" w:hAnsi="Arial"/>
                <w:sz w:val="20"/>
                <w:szCs w:val="20"/>
                <w:color w:val="231F20"/>
              </w:rPr>
              <w:t>38,109</w:t>
            </w:r>
          </w:p>
        </w:tc>
        <w:tc>
          <w:tcPr>
            <w:tcW w:w="18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460" w:type="dxa"/>
            <w:vAlign w:val="bottom"/>
            <w:tcBorders>
              <w:bottom w:val="single" w:sz="8" w:color="231F20"/>
            </w:tcBorders>
            <w:shd w:val="clear" w:color="auto" w:fill="EBECEC"/>
          </w:tcPr>
          <w:p>
            <w:pPr>
              <w:spacing w:after="0"/>
              <w:rPr>
                <w:sz w:val="20"/>
                <w:szCs w:val="20"/>
                <w:color w:val="auto"/>
              </w:rPr>
            </w:pPr>
          </w:p>
        </w:tc>
        <w:tc>
          <w:tcPr>
            <w:tcW w:w="1140" w:type="dxa"/>
            <w:vAlign w:val="bottom"/>
            <w:tcBorders>
              <w:bottom w:val="single" w:sz="8" w:color="231F20"/>
            </w:tcBorders>
            <w:shd w:val="clear" w:color="auto" w:fill="EBECEC"/>
          </w:tcPr>
          <w:p>
            <w:pPr>
              <w:jc w:val="right"/>
              <w:ind w:right="22"/>
              <w:spacing w:after="0"/>
              <w:rPr>
                <w:sz w:val="20"/>
                <w:szCs w:val="20"/>
                <w:color w:val="auto"/>
              </w:rPr>
            </w:pPr>
            <w:r>
              <w:rPr>
                <w:rFonts w:ascii="Arial" w:cs="Arial" w:eastAsia="Arial" w:hAnsi="Arial"/>
                <w:sz w:val="20"/>
                <w:szCs w:val="20"/>
                <w:color w:val="231F20"/>
              </w:rPr>
              <w:t>56,788</w:t>
            </w:r>
          </w:p>
        </w:tc>
        <w:tc>
          <w:tcPr>
            <w:tcW w:w="18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260" w:type="dxa"/>
            <w:vAlign w:val="bottom"/>
            <w:tcBorders>
              <w:bottom w:val="single" w:sz="8" w:color="231F20"/>
            </w:tcBorders>
            <w:shd w:val="clear" w:color="auto" w:fill="EBECEC"/>
          </w:tcPr>
          <w:p>
            <w:pPr>
              <w:spacing w:after="0"/>
              <w:rPr>
                <w:sz w:val="20"/>
                <w:szCs w:val="20"/>
                <w:color w:val="auto"/>
              </w:rPr>
            </w:pPr>
          </w:p>
        </w:tc>
        <w:tc>
          <w:tcPr>
            <w:tcW w:w="132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(18,679)</w:t>
            </w:r>
          </w:p>
        </w:tc>
        <w:tc>
          <w:tcPr>
            <w:tcW w:w="1820" w:type="dxa"/>
            <w:vAlign w:val="bottom"/>
            <w:gridSpan w:val="2"/>
            <w:shd w:val="clear" w:color="auto" w:fill="EBECEC"/>
          </w:tcPr>
          <w:p>
            <w:pPr>
              <w:jc w:val="right"/>
              <w:spacing w:after="0"/>
              <w:rPr>
                <w:sz w:val="20"/>
                <w:szCs w:val="20"/>
                <w:color w:val="auto"/>
              </w:rPr>
            </w:pPr>
            <w:r>
              <w:rPr>
                <w:rFonts w:ascii="Arial" w:cs="Arial" w:eastAsia="Arial" w:hAnsi="Arial"/>
                <w:sz w:val="20"/>
                <w:szCs w:val="20"/>
                <w:color w:val="231F20"/>
              </w:rPr>
              <w:t>(33%)</w:t>
            </w:r>
          </w:p>
        </w:tc>
      </w:tr>
      <w:tr>
        <w:trPr>
          <w:trHeight w:val="239"/>
        </w:trPr>
        <w:tc>
          <w:tcPr>
            <w:tcW w:w="3300" w:type="dxa"/>
            <w:vAlign w:val="bottom"/>
          </w:tcPr>
          <w:p>
            <w:pPr>
              <w:spacing w:after="0"/>
              <w:rPr>
                <w:sz w:val="20"/>
                <w:szCs w:val="20"/>
                <w:color w:val="auto"/>
              </w:rPr>
            </w:pPr>
            <w:r>
              <w:rPr>
                <w:rFonts w:ascii="Arial" w:cs="Arial" w:eastAsia="Arial" w:hAnsi="Arial"/>
                <w:sz w:val="20"/>
                <w:szCs w:val="20"/>
                <w:color w:val="231F20"/>
              </w:rPr>
              <w:t>Loss from operations</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231F20"/>
              </w:rPr>
              <w:t>(38,109)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(56,788)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231F20"/>
              </w:rPr>
              <w:t>18,679</w:t>
            </w:r>
          </w:p>
        </w:tc>
        <w:tc>
          <w:tcPr>
            <w:tcW w:w="1820" w:type="dxa"/>
            <w:vAlign w:val="bottom"/>
            <w:gridSpan w:val="2"/>
          </w:tcPr>
          <w:p>
            <w:pPr>
              <w:jc w:val="right"/>
              <w:spacing w:after="0"/>
              <w:rPr>
                <w:sz w:val="20"/>
                <w:szCs w:val="20"/>
                <w:color w:val="auto"/>
              </w:rPr>
            </w:pPr>
            <w:r>
              <w:rPr>
                <w:rFonts w:ascii="Arial" w:cs="Arial" w:eastAsia="Arial" w:hAnsi="Arial"/>
                <w:sz w:val="20"/>
                <w:szCs w:val="20"/>
                <w:color w:val="231F20"/>
              </w:rPr>
              <w:t>(33%)</w:t>
            </w:r>
          </w:p>
        </w:tc>
      </w:tr>
      <w:tr>
        <w:trPr>
          <w:trHeight w:val="244"/>
        </w:trPr>
        <w:tc>
          <w:tcPr>
            <w:tcW w:w="3300" w:type="dxa"/>
            <w:vAlign w:val="bottom"/>
            <w:shd w:val="clear" w:color="auto" w:fill="EBECEC"/>
          </w:tcPr>
          <w:p>
            <w:pPr>
              <w:spacing w:after="0"/>
              <w:rPr>
                <w:sz w:val="20"/>
                <w:szCs w:val="20"/>
                <w:color w:val="auto"/>
              </w:rPr>
            </w:pPr>
            <w:r>
              <w:rPr>
                <w:rFonts w:ascii="Arial" w:cs="Arial" w:eastAsia="Arial" w:hAnsi="Arial"/>
                <w:sz w:val="20"/>
                <w:szCs w:val="20"/>
                <w:color w:val="231F20"/>
              </w:rPr>
              <w:t>Interest income</w:t>
            </w:r>
          </w:p>
        </w:tc>
        <w:tc>
          <w:tcPr>
            <w:tcW w:w="50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60" w:type="dxa"/>
            <w:vAlign w:val="bottom"/>
            <w:shd w:val="clear" w:color="auto" w:fill="EBECEC"/>
          </w:tcPr>
          <w:p>
            <w:pPr>
              <w:jc w:val="right"/>
              <w:ind w:right="25"/>
              <w:spacing w:after="0"/>
              <w:rPr>
                <w:sz w:val="20"/>
                <w:szCs w:val="20"/>
                <w:color w:val="auto"/>
              </w:rPr>
            </w:pPr>
            <w:r>
              <w:rPr>
                <w:rFonts w:ascii="Arial" w:cs="Arial" w:eastAsia="Arial" w:hAnsi="Arial"/>
                <w:sz w:val="20"/>
                <w:szCs w:val="20"/>
                <w:color w:val="231F20"/>
              </w:rPr>
              <w:t>2,934</w:t>
            </w:r>
          </w:p>
        </w:tc>
        <w:tc>
          <w:tcPr>
            <w:tcW w:w="18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460" w:type="dxa"/>
            <w:vAlign w:val="bottom"/>
            <w:shd w:val="clear" w:color="auto" w:fill="EBECEC"/>
          </w:tcPr>
          <w:p>
            <w:pPr>
              <w:spacing w:after="0"/>
              <w:rPr>
                <w:sz w:val="21"/>
                <w:szCs w:val="21"/>
                <w:color w:val="auto"/>
              </w:rPr>
            </w:pPr>
          </w:p>
        </w:tc>
        <w:tc>
          <w:tcPr>
            <w:tcW w:w="1140" w:type="dxa"/>
            <w:vAlign w:val="bottom"/>
            <w:shd w:val="clear" w:color="auto" w:fill="EBECEC"/>
          </w:tcPr>
          <w:p>
            <w:pPr>
              <w:jc w:val="right"/>
              <w:ind w:right="22"/>
              <w:spacing w:after="0"/>
              <w:rPr>
                <w:sz w:val="20"/>
                <w:szCs w:val="20"/>
                <w:color w:val="auto"/>
              </w:rPr>
            </w:pPr>
            <w:r>
              <w:rPr>
                <w:rFonts w:ascii="Arial" w:cs="Arial" w:eastAsia="Arial" w:hAnsi="Arial"/>
                <w:sz w:val="20"/>
                <w:szCs w:val="20"/>
                <w:color w:val="231F20"/>
              </w:rPr>
              <w:t>5,466</w:t>
            </w:r>
          </w:p>
        </w:tc>
        <w:tc>
          <w:tcPr>
            <w:tcW w:w="18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132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(2,532)</w:t>
            </w:r>
          </w:p>
        </w:tc>
        <w:tc>
          <w:tcPr>
            <w:tcW w:w="1820" w:type="dxa"/>
            <w:vAlign w:val="bottom"/>
            <w:gridSpan w:val="2"/>
            <w:shd w:val="clear" w:color="auto" w:fill="EBECEC"/>
          </w:tcPr>
          <w:p>
            <w:pPr>
              <w:jc w:val="right"/>
              <w:spacing w:after="0"/>
              <w:rPr>
                <w:sz w:val="20"/>
                <w:szCs w:val="20"/>
                <w:color w:val="auto"/>
              </w:rPr>
            </w:pPr>
            <w:r>
              <w:rPr>
                <w:rFonts w:ascii="Arial" w:cs="Arial" w:eastAsia="Arial" w:hAnsi="Arial"/>
                <w:sz w:val="20"/>
                <w:szCs w:val="20"/>
                <w:color w:val="231F20"/>
              </w:rPr>
              <w:t>(46%)</w:t>
            </w:r>
          </w:p>
        </w:tc>
      </w:tr>
      <w:tr>
        <w:trPr>
          <w:trHeight w:val="244"/>
        </w:trPr>
        <w:tc>
          <w:tcPr>
            <w:tcW w:w="3300" w:type="dxa"/>
            <w:vAlign w:val="bottom"/>
            <w:tcBorders>
              <w:bottom w:val="single" w:sz="8" w:color="EBECEC"/>
            </w:tcBorders>
          </w:tcPr>
          <w:p>
            <w:pPr>
              <w:spacing w:after="0"/>
              <w:rPr>
                <w:sz w:val="20"/>
                <w:szCs w:val="20"/>
                <w:color w:val="auto"/>
              </w:rPr>
            </w:pPr>
            <w:r>
              <w:rPr>
                <w:rFonts w:ascii="Arial" w:cs="Arial" w:eastAsia="Arial" w:hAnsi="Arial"/>
                <w:sz w:val="20"/>
                <w:szCs w:val="20"/>
                <w:color w:val="231F20"/>
              </w:rPr>
              <w:t>Other income</w:t>
            </w:r>
          </w:p>
        </w:tc>
        <w:tc>
          <w:tcPr>
            <w:tcW w:w="500" w:type="dxa"/>
            <w:vAlign w:val="bottom"/>
            <w:tcBorders>
              <w:bottom w:val="single" w:sz="8" w:color="EBECEC"/>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260" w:type="dxa"/>
            <w:vAlign w:val="bottom"/>
            <w:tcBorders>
              <w:bottom w:val="single" w:sz="8" w:color="231F20"/>
            </w:tcBorders>
          </w:tcPr>
          <w:p>
            <w:pPr>
              <w:jc w:val="right"/>
              <w:ind w:right="25"/>
              <w:spacing w:after="0"/>
              <w:rPr>
                <w:sz w:val="20"/>
                <w:szCs w:val="20"/>
                <w:color w:val="auto"/>
              </w:rPr>
            </w:pPr>
            <w:r>
              <w:rPr>
                <w:rFonts w:ascii="Arial" w:cs="Arial" w:eastAsia="Arial" w:hAnsi="Arial"/>
                <w:sz w:val="20"/>
                <w:szCs w:val="20"/>
                <w:color w:val="231F20"/>
              </w:rPr>
              <w:t>1</w:t>
            </w:r>
          </w:p>
        </w:tc>
        <w:tc>
          <w:tcPr>
            <w:tcW w:w="180" w:type="dxa"/>
            <w:vAlign w:val="bottom"/>
            <w:tcBorders>
              <w:bottom w:val="single" w:sz="8" w:color="EBECEC"/>
            </w:tcBorders>
          </w:tcPr>
          <w:p>
            <w:pPr>
              <w:spacing w:after="0"/>
              <w:rPr>
                <w:sz w:val="21"/>
                <w:szCs w:val="21"/>
                <w:color w:val="auto"/>
              </w:rPr>
            </w:pPr>
          </w:p>
        </w:tc>
        <w:tc>
          <w:tcPr>
            <w:tcW w:w="20" w:type="dxa"/>
            <w:vAlign w:val="bottom"/>
            <w:tcBorders>
              <w:bottom w:val="single" w:sz="8" w:color="EBECEC"/>
            </w:tcBorders>
          </w:tcPr>
          <w:p>
            <w:pPr>
              <w:spacing w:after="0"/>
              <w:rPr>
                <w:sz w:val="21"/>
                <w:szCs w:val="21"/>
                <w:color w:val="auto"/>
              </w:rPr>
            </w:pPr>
          </w:p>
        </w:tc>
        <w:tc>
          <w:tcPr>
            <w:tcW w:w="46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ind w:right="22"/>
              <w:spacing w:after="0"/>
              <w:rPr>
                <w:sz w:val="20"/>
                <w:szCs w:val="20"/>
                <w:color w:val="auto"/>
              </w:rPr>
            </w:pPr>
            <w:r>
              <w:rPr>
                <w:rFonts w:ascii="Arial" w:cs="Arial" w:eastAsia="Arial" w:hAnsi="Arial"/>
                <w:sz w:val="20"/>
                <w:szCs w:val="20"/>
                <w:color w:val="231F20"/>
              </w:rPr>
              <w:t>1</w:t>
            </w:r>
          </w:p>
        </w:tc>
        <w:tc>
          <w:tcPr>
            <w:tcW w:w="180" w:type="dxa"/>
            <w:vAlign w:val="bottom"/>
            <w:tcBorders>
              <w:bottom w:val="single" w:sz="8" w:color="EBECEC"/>
            </w:tcBorders>
          </w:tcPr>
          <w:p>
            <w:pPr>
              <w:spacing w:after="0"/>
              <w:rPr>
                <w:sz w:val="21"/>
                <w:szCs w:val="21"/>
                <w:color w:val="auto"/>
              </w:rPr>
            </w:pPr>
          </w:p>
        </w:tc>
        <w:tc>
          <w:tcPr>
            <w:tcW w:w="20" w:type="dxa"/>
            <w:vAlign w:val="bottom"/>
            <w:tcBorders>
              <w:bottom w:val="single" w:sz="8" w:color="EBECEC"/>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22"/>
              <w:spacing w:after="0"/>
              <w:rPr>
                <w:sz w:val="20"/>
                <w:szCs w:val="20"/>
                <w:color w:val="auto"/>
              </w:rPr>
            </w:pPr>
            <w:r>
              <w:rPr>
                <w:rFonts w:ascii="Arial" w:cs="Arial" w:eastAsia="Arial" w:hAnsi="Arial"/>
                <w:sz w:val="20"/>
                <w:szCs w:val="20"/>
                <w:color w:val="231F20"/>
              </w:rPr>
              <w:t>—</w:t>
            </w:r>
          </w:p>
        </w:tc>
        <w:tc>
          <w:tcPr>
            <w:tcW w:w="1820" w:type="dxa"/>
            <w:vAlign w:val="bottom"/>
            <w:tcBorders>
              <w:bottom w:val="single" w:sz="8" w:color="EBECEC"/>
            </w:tcBorders>
            <w:gridSpan w:val="2"/>
          </w:tcPr>
          <w:p>
            <w:pPr>
              <w:jc w:val="right"/>
              <w:ind w:right="240"/>
              <w:spacing w:after="0"/>
              <w:rPr>
                <w:sz w:val="20"/>
                <w:szCs w:val="20"/>
                <w:color w:val="auto"/>
              </w:rPr>
            </w:pPr>
            <w:r>
              <w:rPr>
                <w:rFonts w:ascii="Arial" w:cs="Arial" w:eastAsia="Arial" w:hAnsi="Arial"/>
                <w:sz w:val="20"/>
                <w:szCs w:val="20"/>
                <w:color w:val="231F20"/>
              </w:rPr>
              <w:t>*</w:t>
            </w:r>
          </w:p>
        </w:tc>
      </w:tr>
      <w:tr>
        <w:trPr>
          <w:trHeight w:val="239"/>
        </w:trPr>
        <w:tc>
          <w:tcPr>
            <w:tcW w:w="3300" w:type="dxa"/>
            <w:vAlign w:val="bottom"/>
            <w:shd w:val="clear" w:color="auto" w:fill="EBECEC"/>
          </w:tcPr>
          <w:p>
            <w:pPr>
              <w:spacing w:after="0"/>
              <w:rPr>
                <w:sz w:val="20"/>
                <w:szCs w:val="20"/>
                <w:color w:val="auto"/>
              </w:rPr>
            </w:pPr>
            <w:r>
              <w:rPr>
                <w:rFonts w:ascii="Arial" w:cs="Arial" w:eastAsia="Arial" w:hAnsi="Arial"/>
                <w:sz w:val="20"/>
                <w:szCs w:val="20"/>
                <w:color w:val="231F20"/>
              </w:rPr>
              <w:t>Net loss</w:t>
            </w:r>
          </w:p>
        </w:tc>
        <w:tc>
          <w:tcPr>
            <w:tcW w:w="500" w:type="dxa"/>
            <w:vAlign w:val="bottom"/>
            <w:shd w:val="clear" w:color="auto" w:fill="EBECEC"/>
          </w:tcPr>
          <w:p>
            <w:pPr>
              <w:spacing w:after="0"/>
              <w:rPr>
                <w:sz w:val="20"/>
                <w:szCs w:val="20"/>
                <w:color w:val="auto"/>
              </w:rPr>
            </w:pPr>
          </w:p>
        </w:tc>
        <w:tc>
          <w:tcPr>
            <w:tcW w:w="340" w:type="dxa"/>
            <w:vAlign w:val="bottom"/>
            <w:tcBorders>
              <w:bottom w:val="single" w:sz="8" w:color="231F20"/>
            </w:tcBorders>
            <w:shd w:val="clear" w:color="auto" w:fill="EBECEC"/>
          </w:tcPr>
          <w:p>
            <w:pPr>
              <w:jc w:val="right"/>
              <w:ind w:right="120"/>
              <w:spacing w:after="0"/>
              <w:rPr>
                <w:sz w:val="20"/>
                <w:szCs w:val="20"/>
                <w:color w:val="auto"/>
              </w:rPr>
            </w:pPr>
            <w:r>
              <w:rPr>
                <w:rFonts w:ascii="Arial" w:cs="Arial" w:eastAsia="Arial" w:hAnsi="Arial"/>
                <w:sz w:val="20"/>
                <w:szCs w:val="20"/>
                <w:color w:val="231F20"/>
                <w:w w:val="89"/>
              </w:rPr>
              <w:t>$</w:t>
            </w:r>
          </w:p>
        </w:tc>
        <w:tc>
          <w:tcPr>
            <w:tcW w:w="126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(35,174)</w:t>
            </w:r>
          </w:p>
        </w:tc>
        <w:tc>
          <w:tcPr>
            <w:tcW w:w="180" w:type="dxa"/>
            <w:vAlign w:val="bottom"/>
            <w:shd w:val="clear" w:color="auto" w:fill="EBECEC"/>
          </w:tcPr>
          <w:p>
            <w:pPr>
              <w:spacing w:after="0"/>
              <w:rPr>
                <w:sz w:val="20"/>
                <w:szCs w:val="20"/>
                <w:color w:val="auto"/>
              </w:rPr>
            </w:pPr>
          </w:p>
        </w:tc>
        <w:tc>
          <w:tcPr>
            <w:tcW w:w="20" w:type="dxa"/>
            <w:vAlign w:val="bottom"/>
            <w:tcBorders>
              <w:bottom w:val="single" w:sz="8" w:color="231F20"/>
            </w:tcBorders>
            <w:shd w:val="clear" w:color="auto" w:fill="EBECEC"/>
          </w:tcPr>
          <w:p>
            <w:pPr>
              <w:spacing w:after="0"/>
              <w:rPr>
                <w:sz w:val="20"/>
                <w:szCs w:val="20"/>
                <w:color w:val="auto"/>
              </w:rPr>
            </w:pPr>
          </w:p>
        </w:tc>
        <w:tc>
          <w:tcPr>
            <w:tcW w:w="460" w:type="dxa"/>
            <w:vAlign w:val="bottom"/>
            <w:tcBorders>
              <w:bottom w:val="single" w:sz="8" w:color="231F20"/>
            </w:tcBorders>
            <w:shd w:val="clear" w:color="auto" w:fill="EBECEC"/>
          </w:tcPr>
          <w:p>
            <w:pPr>
              <w:jc w:val="right"/>
              <w:ind w:right="270"/>
              <w:spacing w:after="0"/>
              <w:rPr>
                <w:sz w:val="20"/>
                <w:szCs w:val="20"/>
                <w:color w:val="auto"/>
              </w:rPr>
            </w:pPr>
            <w:r>
              <w:rPr>
                <w:rFonts w:ascii="Arial" w:cs="Arial" w:eastAsia="Arial" w:hAnsi="Arial"/>
                <w:sz w:val="20"/>
                <w:szCs w:val="20"/>
                <w:color w:val="231F20"/>
                <w:w w:val="71"/>
              </w:rPr>
              <w:t>$</w:t>
            </w:r>
          </w:p>
        </w:tc>
        <w:tc>
          <w:tcPr>
            <w:tcW w:w="114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(51,321)</w:t>
            </w:r>
          </w:p>
        </w:tc>
        <w:tc>
          <w:tcPr>
            <w:tcW w:w="180" w:type="dxa"/>
            <w:vAlign w:val="bottom"/>
            <w:shd w:val="clear" w:color="auto" w:fill="EBECEC"/>
          </w:tcPr>
          <w:p>
            <w:pPr>
              <w:spacing w:after="0"/>
              <w:rPr>
                <w:sz w:val="20"/>
                <w:szCs w:val="20"/>
                <w:color w:val="auto"/>
              </w:rPr>
            </w:pPr>
          </w:p>
        </w:tc>
        <w:tc>
          <w:tcPr>
            <w:tcW w:w="20" w:type="dxa"/>
            <w:vAlign w:val="bottom"/>
            <w:tcBorders>
              <w:bottom w:val="single" w:sz="8" w:color="231F20"/>
            </w:tcBorders>
            <w:shd w:val="clear" w:color="auto" w:fill="EBECEC"/>
          </w:tcPr>
          <w:p>
            <w:pPr>
              <w:spacing w:after="0"/>
              <w:rPr>
                <w:sz w:val="20"/>
                <w:szCs w:val="20"/>
                <w:color w:val="auto"/>
              </w:rPr>
            </w:pPr>
          </w:p>
        </w:tc>
        <w:tc>
          <w:tcPr>
            <w:tcW w:w="260" w:type="dxa"/>
            <w:vAlign w:val="bottom"/>
            <w:tcBorders>
              <w:bottom w:val="single" w:sz="8" w:color="231F20"/>
            </w:tcBorders>
            <w:shd w:val="clear" w:color="auto" w:fill="EBECEC"/>
          </w:tcPr>
          <w:p>
            <w:pPr>
              <w:jc w:val="right"/>
              <w:ind w:right="105"/>
              <w:spacing w:after="0"/>
              <w:rPr>
                <w:sz w:val="20"/>
                <w:szCs w:val="20"/>
                <w:color w:val="auto"/>
              </w:rPr>
            </w:pPr>
            <w:r>
              <w:rPr>
                <w:rFonts w:ascii="Arial" w:cs="Arial" w:eastAsia="Arial" w:hAnsi="Arial"/>
                <w:sz w:val="15"/>
                <w:szCs w:val="15"/>
                <w:color w:val="231F20"/>
                <w:w w:val="71"/>
              </w:rPr>
              <w:t>$</w:t>
            </w:r>
          </w:p>
        </w:tc>
        <w:tc>
          <w:tcPr>
            <w:tcW w:w="1320" w:type="dxa"/>
            <w:vAlign w:val="bottom"/>
            <w:tcBorders>
              <w:bottom w:val="single" w:sz="8" w:color="231F20"/>
            </w:tcBorders>
            <w:shd w:val="clear" w:color="auto" w:fill="EBECEC"/>
          </w:tcPr>
          <w:p>
            <w:pPr>
              <w:jc w:val="right"/>
              <w:ind w:right="22"/>
              <w:spacing w:after="0"/>
              <w:rPr>
                <w:sz w:val="20"/>
                <w:szCs w:val="20"/>
                <w:color w:val="auto"/>
              </w:rPr>
            </w:pPr>
            <w:r>
              <w:rPr>
                <w:rFonts w:ascii="Arial" w:cs="Arial" w:eastAsia="Arial" w:hAnsi="Arial"/>
                <w:sz w:val="20"/>
                <w:szCs w:val="20"/>
                <w:color w:val="231F20"/>
              </w:rPr>
              <w:t>16,147</w:t>
            </w:r>
          </w:p>
        </w:tc>
        <w:tc>
          <w:tcPr>
            <w:tcW w:w="1820" w:type="dxa"/>
            <w:vAlign w:val="bottom"/>
            <w:gridSpan w:val="2"/>
            <w:shd w:val="clear" w:color="auto" w:fill="EBECEC"/>
          </w:tcPr>
          <w:p>
            <w:pPr>
              <w:jc w:val="right"/>
              <w:spacing w:after="0"/>
              <w:rPr>
                <w:sz w:val="20"/>
                <w:szCs w:val="20"/>
                <w:color w:val="auto"/>
              </w:rPr>
            </w:pPr>
            <w:r>
              <w:rPr>
                <w:rFonts w:ascii="Arial" w:cs="Arial" w:eastAsia="Arial" w:hAnsi="Arial"/>
                <w:sz w:val="20"/>
                <w:szCs w:val="20"/>
                <w:color w:val="231F20"/>
              </w:rPr>
              <w:t>(31%)</w:t>
            </w:r>
          </w:p>
        </w:tc>
      </w:tr>
      <w:tr>
        <w:trPr>
          <w:trHeight w:val="20"/>
        </w:trPr>
        <w:tc>
          <w:tcPr>
            <w:tcW w:w="3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-1736090</wp:posOffset>
            </wp:positionV>
            <wp:extent cx="219202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2192020" cy="381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i w:val="1"/>
          <w:iCs w:val="1"/>
          <w:color w:val="231F20"/>
        </w:rPr>
        <w:t>*Change not meaningful</w:t>
      </w:r>
    </w:p>
    <w:p>
      <w:pPr>
        <w:sectPr>
          <w:pgSz w:w="11880" w:h="15480" w:orient="portrait"/>
          <w:cols w:equalWidth="0" w:num="1">
            <w:col w:w="10800"/>
          </w:cols>
          <w:pgMar w:left="540" w:top="750" w:right="540" w:bottom="0" w:gutter="0" w:footer="0" w:header="0"/>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10800"/>
          </w:cols>
          <w:pgMar w:left="540" w:top="750" w:right="540" w:bottom="0" w:gutter="0" w:footer="0" w:header="0"/>
          <w:type w:val="continuous"/>
        </w:sectPr>
      </w:pPr>
    </w:p>
    <w:bookmarkStart w:id="76" w:name="page77"/>
    <w:bookmarkEnd w:id="76"/>
    <w:p>
      <w:pPr>
        <w:spacing w:after="0"/>
        <w:rPr>
          <w:sz w:val="20"/>
          <w:szCs w:val="20"/>
          <w:color w:val="auto"/>
        </w:rPr>
      </w:pPr>
      <w:r>
        <w:rPr>
          <w:rFonts w:ascii="Arial" w:cs="Arial" w:eastAsia="Arial" w:hAnsi="Arial"/>
          <w:sz w:val="20"/>
          <w:szCs w:val="20"/>
          <w:b w:val="1"/>
          <w:bCs w:val="1"/>
          <w:i w:val="1"/>
          <w:iCs w:val="1"/>
          <w:color w:val="231F20"/>
        </w:rPr>
        <w:t>Research and Development Expenses</w:t>
      </w:r>
    </w:p>
    <w:p>
      <w:pPr>
        <w:spacing w:after="0" w:line="116" w:lineRule="exact"/>
        <w:rPr>
          <w:sz w:val="20"/>
          <w:szCs w:val="20"/>
          <w:color w:val="auto"/>
        </w:rPr>
      </w:pPr>
    </w:p>
    <w:p>
      <w:pPr>
        <w:ind w:right="60" w:firstLine="490"/>
        <w:spacing w:after="0" w:line="253" w:lineRule="auto"/>
        <w:rPr>
          <w:sz w:val="20"/>
          <w:szCs w:val="20"/>
          <w:color w:val="auto"/>
        </w:rPr>
      </w:pPr>
      <w:r>
        <w:rPr>
          <w:rFonts w:ascii="Arial" w:cs="Arial" w:eastAsia="Arial" w:hAnsi="Arial"/>
          <w:sz w:val="20"/>
          <w:szCs w:val="20"/>
          <w:color w:val="231F20"/>
        </w:rPr>
        <w:t xml:space="preserve">Research and development expenses were $24.8 million for the year ended December 31, 2025 compared to $40.5 million for the year ended December 31, 2024. The decrease of $15.7 million was </w:t>
      </w:r>
      <w:r>
        <w:rPr>
          <w:rFonts w:ascii="Arial" w:cs="Arial" w:eastAsia="Arial" w:hAnsi="Arial"/>
          <w:sz w:val="19"/>
          <w:szCs w:val="19"/>
          <w:color w:val="231F20"/>
        </w:rPr>
        <w:t>primarily due to decreases in clinical</w:t>
      </w:r>
      <w:r>
        <w:rPr>
          <w:rFonts w:ascii="Arial" w:cs="Arial" w:eastAsia="Arial" w:hAnsi="Arial"/>
          <w:sz w:val="20"/>
          <w:szCs w:val="20"/>
          <w:color w:val="231F20"/>
        </w:rPr>
        <w:t xml:space="preserve"> </w:t>
      </w:r>
      <w:r>
        <w:rPr>
          <w:rFonts w:ascii="Arial" w:cs="Arial" w:eastAsia="Arial" w:hAnsi="Arial"/>
          <w:sz w:val="19"/>
          <w:szCs w:val="19"/>
          <w:color w:val="231F20"/>
        </w:rPr>
        <w:t>trial expenses, personnel-related expenses, consulting and outside services expenses, chemistry manufacturing and controls (</w:t>
      </w:r>
      <w:r>
        <w:rPr>
          <w:rFonts w:ascii="Arial" w:cs="Arial" w:eastAsia="Arial" w:hAnsi="Arial"/>
          <w:sz w:val="20"/>
          <w:szCs w:val="20"/>
          <w:color w:val="231F20"/>
        </w:rPr>
        <w:t>“</w:t>
      </w:r>
      <w:r>
        <w:rPr>
          <w:rFonts w:ascii="Arial" w:cs="Arial" w:eastAsia="Arial" w:hAnsi="Arial"/>
          <w:sz w:val="19"/>
          <w:szCs w:val="19"/>
          <w:color w:val="231F20"/>
        </w:rPr>
        <w:t>CMC</w:t>
      </w:r>
      <w:r>
        <w:rPr>
          <w:rFonts w:ascii="Arial" w:cs="Arial" w:eastAsia="Arial" w:hAnsi="Arial"/>
          <w:sz w:val="20"/>
          <w:szCs w:val="20"/>
          <w:color w:val="231F20"/>
        </w:rPr>
        <w:t>”</w:t>
      </w:r>
      <w:r>
        <w:rPr>
          <w:rFonts w:ascii="Arial" w:cs="Arial" w:eastAsia="Arial" w:hAnsi="Arial"/>
          <w:sz w:val="19"/>
          <w:szCs w:val="19"/>
          <w:color w:val="231F20"/>
        </w:rPr>
        <w:t>) expenses, and facilities and miscellaneous expenses, partially offset by increased preclinical and research study expenses and other expenses. Clinical trial expenses decreased by $12.8 million primarily due to the termination of the EBO-301 trial in August 2024, partially offset by the initiation of the Phase 1 trial in Chagas disease. Personnel-related expenses decreased by $4.3 million primarily due to our restructuring activities in 2024. Consulting and outside services expenses decreased by $2.3 million primarily due to reduced activities related to the clinical development of epetraborole in treatment-refractory NTM, completion of the melioidosis observational study, and the timing of non-dilutive contract offsets. CMC expenses decreased by $1.3 million due to decreases in expenses related to epetraborole development in treatment-refractory NTM and the timing of when receipt of research contract offsets became reasonably assured, partially offset by increased CMC activities for our Chagas program. Allocated facilities and miscellaneous expenses decreased by $0.1 million. These decreases were partially offset by increased preclinical and research study expenses of $5.0 million resulting from the prioritization and increased activities of certain research programs and increased other expenses of $0.1 million. During the years ended December 31, 2025 and 2024, reimbursement of $5.2 million and $3.7 million, respectively, of operating expenses was recognized related to our funding arrangements.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The following table shows our research and development expenses by type of activity: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4"/>
          </w:tcPr>
          <w:p>
            <w:pPr>
              <w:jc w:val="right"/>
              <w:spacing w:after="0"/>
              <w:rPr>
                <w:sz w:val="20"/>
                <w:szCs w:val="20"/>
                <w:color w:val="auto"/>
              </w:rPr>
            </w:pPr>
            <w:r>
              <w:rPr>
                <w:rFonts w:ascii="Arial" w:cs="Arial" w:eastAsia="Arial" w:hAnsi="Arial"/>
                <w:sz w:val="16"/>
                <w:szCs w:val="16"/>
                <w:b w:val="1"/>
                <w:bCs w:val="1"/>
                <w:color w:val="231F20"/>
              </w:rPr>
              <w:t>Year Ended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3"/>
        </w:trPr>
        <w:tc>
          <w:tcPr>
            <w:tcW w:w="4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763"/>
              <w:spacing w:after="0"/>
              <w:rPr>
                <w:sz w:val="20"/>
                <w:szCs w:val="20"/>
                <w:color w:val="auto"/>
              </w:rPr>
            </w:pPr>
            <w:r>
              <w:rPr>
                <w:rFonts w:ascii="Arial" w:cs="Arial" w:eastAsia="Arial" w:hAnsi="Arial"/>
                <w:sz w:val="16"/>
                <w:szCs w:val="16"/>
                <w:b w:val="1"/>
                <w:bCs w:val="1"/>
                <w:color w:val="231F20"/>
              </w:rPr>
              <w:t>December 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4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306"/>
              <w:spacing w:after="0"/>
              <w:rPr>
                <w:sz w:val="20"/>
                <w:szCs w:val="20"/>
                <w:color w:val="auto"/>
              </w:rPr>
            </w:pPr>
            <w:r>
              <w:rPr>
                <w:rFonts w:ascii="Arial" w:cs="Arial" w:eastAsia="Arial" w:hAnsi="Arial"/>
                <w:sz w:val="16"/>
                <w:szCs w:val="16"/>
                <w:b w:val="1"/>
                <w:bCs w:val="1"/>
                <w:color w:val="231F20"/>
              </w:rPr>
              <w:t>2025</w:t>
            </w:r>
          </w:p>
        </w:tc>
        <w:tc>
          <w:tcPr>
            <w:tcW w:w="100" w:type="dxa"/>
            <w:vAlign w:val="bottom"/>
            <w:tcBorders>
              <w:bottom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403"/>
              <w:spacing w:after="0"/>
              <w:rPr>
                <w:sz w:val="20"/>
                <w:szCs w:val="20"/>
                <w:color w:val="auto"/>
              </w:rPr>
            </w:pPr>
            <w:r>
              <w:rPr>
                <w:rFonts w:ascii="Arial" w:cs="Arial" w:eastAsia="Arial" w:hAnsi="Arial"/>
                <w:sz w:val="16"/>
                <w:szCs w:val="16"/>
                <w:b w:val="1"/>
                <w:bCs w:val="1"/>
                <w:color w:val="231F20"/>
              </w:rPr>
              <w:t>2024</w:t>
            </w:r>
          </w:p>
        </w:tc>
        <w:tc>
          <w:tcPr>
            <w:tcW w:w="14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ind w:right="283"/>
              <w:spacing w:after="0"/>
              <w:rPr>
                <w:sz w:val="20"/>
                <w:szCs w:val="20"/>
                <w:color w:val="auto"/>
              </w:rPr>
            </w:pPr>
            <w:r>
              <w:rPr>
                <w:rFonts w:ascii="Arial" w:cs="Arial" w:eastAsia="Arial" w:hAnsi="Arial"/>
                <w:sz w:val="16"/>
                <w:szCs w:val="16"/>
                <w:b w:val="1"/>
                <w:bCs w:val="1"/>
                <w:color w:val="231F20"/>
              </w:rPr>
              <w:t>Change</w:t>
            </w:r>
          </w:p>
        </w:tc>
        <w:tc>
          <w:tcPr>
            <w:tcW w:w="140" w:type="dxa"/>
            <w:vAlign w:val="bottom"/>
          </w:tcPr>
          <w:p>
            <w:pPr>
              <w:spacing w:after="0"/>
              <w:rPr>
                <w:sz w:val="17"/>
                <w:szCs w:val="17"/>
                <w:color w:val="auto"/>
              </w:rPr>
            </w:pPr>
          </w:p>
        </w:tc>
        <w:tc>
          <w:tcPr>
            <w:tcW w:w="1260" w:type="dxa"/>
            <w:vAlign w:val="bottom"/>
            <w:tcBorders>
              <w:bottom w:val="single" w:sz="8" w:color="231F20"/>
            </w:tcBorders>
          </w:tcPr>
          <w:p>
            <w:pPr>
              <w:jc w:val="right"/>
              <w:ind w:right="320"/>
              <w:spacing w:after="0"/>
              <w:rPr>
                <w:sz w:val="20"/>
                <w:szCs w:val="20"/>
                <w:color w:val="auto"/>
              </w:rPr>
            </w:pPr>
            <w:r>
              <w:rPr>
                <w:rFonts w:ascii="Arial" w:cs="Arial" w:eastAsia="Arial" w:hAnsi="Arial"/>
                <w:sz w:val="16"/>
                <w:szCs w:val="16"/>
                <w:b w:val="1"/>
                <w:bCs w:val="1"/>
                <w:color w:val="231F20"/>
              </w:rPr>
              <w:t>% Change</w:t>
            </w:r>
          </w:p>
        </w:tc>
      </w:tr>
      <w:tr>
        <w:trPr>
          <w:trHeight w:val="193"/>
        </w:trPr>
        <w:tc>
          <w:tcPr>
            <w:tcW w:w="4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40" w:type="dxa"/>
            <w:vAlign w:val="bottom"/>
            <w:gridSpan w:val="7"/>
          </w:tcPr>
          <w:p>
            <w:pPr>
              <w:jc w:val="right"/>
              <w:ind w:right="23"/>
              <w:spacing w:after="0"/>
              <w:rPr>
                <w:sz w:val="20"/>
                <w:szCs w:val="20"/>
                <w:color w:val="auto"/>
              </w:rPr>
            </w:pPr>
            <w:r>
              <w:rPr>
                <w:rFonts w:ascii="Arial" w:cs="Arial" w:eastAsia="Arial" w:hAnsi="Arial"/>
                <w:sz w:val="16"/>
                <w:szCs w:val="16"/>
                <w:b w:val="1"/>
                <w:bCs w:val="1"/>
                <w:color w:val="231F20"/>
              </w:rPr>
              <w:t>(in thousands, except percentages)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4"/>
        </w:trPr>
        <w:tc>
          <w:tcPr>
            <w:tcW w:w="4600" w:type="dxa"/>
            <w:vAlign w:val="bottom"/>
            <w:shd w:val="clear" w:color="auto" w:fill="EBECEC"/>
          </w:tcPr>
          <w:p>
            <w:pPr>
              <w:spacing w:after="0"/>
              <w:rPr>
                <w:sz w:val="20"/>
                <w:szCs w:val="20"/>
                <w:color w:val="auto"/>
              </w:rPr>
            </w:pPr>
            <w:r>
              <w:rPr>
                <w:rFonts w:ascii="Arial" w:cs="Arial" w:eastAsia="Arial" w:hAnsi="Arial"/>
                <w:sz w:val="20"/>
                <w:szCs w:val="20"/>
                <w:color w:val="231F20"/>
              </w:rPr>
              <w:t>Personnel-related expenses</w:t>
            </w:r>
          </w:p>
        </w:tc>
        <w:tc>
          <w:tcPr>
            <w:tcW w:w="1060" w:type="dxa"/>
            <w:vAlign w:val="bottom"/>
            <w:gridSpan w:val="2"/>
            <w:shd w:val="clear" w:color="auto" w:fill="EBECEC"/>
          </w:tcPr>
          <w:p>
            <w:pPr>
              <w:jc w:val="right"/>
              <w:ind w:right="40"/>
              <w:spacing w:after="0"/>
              <w:rPr>
                <w:sz w:val="20"/>
                <w:szCs w:val="20"/>
                <w:color w:val="auto"/>
              </w:rPr>
            </w:pPr>
            <w:r>
              <w:rPr>
                <w:rFonts w:ascii="Arial" w:cs="Arial" w:eastAsia="Arial" w:hAnsi="Arial"/>
                <w:sz w:val="20"/>
                <w:szCs w:val="20"/>
                <w:color w:val="231F20"/>
              </w:rPr>
              <w:t>$</w:t>
            </w:r>
          </w:p>
        </w:tc>
        <w:tc>
          <w:tcPr>
            <w:tcW w:w="9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8,971</w:t>
            </w:r>
          </w:p>
        </w:tc>
        <w:tc>
          <w:tcPr>
            <w:tcW w:w="580" w:type="dxa"/>
            <w:vAlign w:val="bottom"/>
            <w:gridSpan w:val="3"/>
            <w:shd w:val="clear" w:color="auto" w:fill="EBECEC"/>
          </w:tcPr>
          <w:p>
            <w:pPr>
              <w:jc w:val="right"/>
              <w:ind w:right="140"/>
              <w:spacing w:after="0"/>
              <w:rPr>
                <w:sz w:val="20"/>
                <w:szCs w:val="20"/>
                <w:color w:val="auto"/>
              </w:rPr>
            </w:pPr>
            <w:r>
              <w:rPr>
                <w:rFonts w:ascii="Arial" w:cs="Arial" w:eastAsia="Arial" w:hAnsi="Arial"/>
                <w:sz w:val="20"/>
                <w:szCs w:val="20"/>
                <w:color w:val="231F20"/>
              </w:rPr>
              <w:t>$</w:t>
            </w:r>
          </w:p>
        </w:tc>
        <w:tc>
          <w:tcPr>
            <w:tcW w:w="900" w:type="dxa"/>
            <w:vAlign w:val="bottom"/>
            <w:shd w:val="clear" w:color="auto" w:fill="EBECEC"/>
          </w:tcPr>
          <w:p>
            <w:pPr>
              <w:jc w:val="right"/>
              <w:ind w:right="23"/>
              <w:spacing w:after="0"/>
              <w:rPr>
                <w:sz w:val="20"/>
                <w:szCs w:val="20"/>
                <w:color w:val="auto"/>
              </w:rPr>
            </w:pPr>
            <w:r>
              <w:rPr>
                <w:rFonts w:ascii="Arial" w:cs="Arial" w:eastAsia="Arial" w:hAnsi="Arial"/>
                <w:sz w:val="20"/>
                <w:szCs w:val="20"/>
                <w:color w:val="231F20"/>
              </w:rPr>
              <w:t>13,244</w:t>
            </w:r>
          </w:p>
        </w:tc>
        <w:tc>
          <w:tcPr>
            <w:tcW w:w="320" w:type="dxa"/>
            <w:vAlign w:val="bottom"/>
            <w:gridSpan w:val="2"/>
            <w:shd w:val="clear" w:color="auto" w:fill="EBECEC"/>
          </w:tcPr>
          <w:p>
            <w:pPr>
              <w:jc w:val="right"/>
              <w:spacing w:after="0"/>
              <w:rPr>
                <w:sz w:val="20"/>
                <w:szCs w:val="20"/>
                <w:color w:val="auto"/>
              </w:rPr>
            </w:pPr>
            <w:r>
              <w:rPr>
                <w:rFonts w:ascii="Arial" w:cs="Arial" w:eastAsia="Arial" w:hAnsi="Arial"/>
                <w:sz w:val="20"/>
                <w:szCs w:val="20"/>
                <w:color w:val="231F20"/>
              </w:rPr>
              <w:t>$</w:t>
            </w:r>
          </w:p>
        </w:tc>
        <w:tc>
          <w:tcPr>
            <w:tcW w:w="104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(4,273)</w:t>
            </w:r>
          </w:p>
        </w:tc>
        <w:tc>
          <w:tcPr>
            <w:tcW w:w="1400" w:type="dxa"/>
            <w:vAlign w:val="bottom"/>
            <w:gridSpan w:val="2"/>
            <w:shd w:val="clear" w:color="auto" w:fill="EBECEC"/>
          </w:tcPr>
          <w:p>
            <w:pPr>
              <w:jc w:val="right"/>
              <w:spacing w:after="0"/>
              <w:rPr>
                <w:sz w:val="20"/>
                <w:szCs w:val="20"/>
                <w:color w:val="auto"/>
              </w:rPr>
            </w:pPr>
            <w:r>
              <w:rPr>
                <w:rFonts w:ascii="Arial" w:cs="Arial" w:eastAsia="Arial" w:hAnsi="Arial"/>
                <w:sz w:val="20"/>
                <w:szCs w:val="20"/>
                <w:color w:val="231F20"/>
              </w:rPr>
              <w:t>(32%)</w:t>
            </w:r>
          </w:p>
        </w:tc>
      </w:tr>
      <w:tr>
        <w:trPr>
          <w:trHeight w:val="244"/>
        </w:trPr>
        <w:tc>
          <w:tcPr>
            <w:tcW w:w="4600" w:type="dxa"/>
            <w:vAlign w:val="bottom"/>
          </w:tcPr>
          <w:p>
            <w:pPr>
              <w:spacing w:after="0"/>
              <w:rPr>
                <w:sz w:val="20"/>
                <w:szCs w:val="20"/>
                <w:color w:val="auto"/>
              </w:rPr>
            </w:pPr>
            <w:r>
              <w:rPr>
                <w:rFonts w:ascii="Arial" w:cs="Arial" w:eastAsia="Arial" w:hAnsi="Arial"/>
                <w:sz w:val="20"/>
                <w:szCs w:val="20"/>
                <w:color w:val="231F20"/>
              </w:rPr>
              <w:t>Preclinical and research study expenses</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8,524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20"/>
                <w:szCs w:val="20"/>
                <w:color w:val="231F20"/>
              </w:rPr>
              <w:t>3,569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20"/>
                <w:szCs w:val="20"/>
                <w:color w:val="231F20"/>
              </w:rPr>
              <w:t>4,955</w:t>
            </w:r>
          </w:p>
        </w:tc>
        <w:tc>
          <w:tcPr>
            <w:tcW w:w="1400" w:type="dxa"/>
            <w:vAlign w:val="bottom"/>
            <w:gridSpan w:val="2"/>
          </w:tcPr>
          <w:p>
            <w:pPr>
              <w:jc w:val="right"/>
              <w:ind w:right="60"/>
              <w:spacing w:after="0"/>
              <w:rPr>
                <w:sz w:val="20"/>
                <w:szCs w:val="20"/>
                <w:color w:val="auto"/>
              </w:rPr>
            </w:pPr>
            <w:r>
              <w:rPr>
                <w:rFonts w:ascii="Arial" w:cs="Arial" w:eastAsia="Arial" w:hAnsi="Arial"/>
                <w:sz w:val="20"/>
                <w:szCs w:val="20"/>
                <w:color w:val="231F20"/>
              </w:rPr>
              <w:t>139%</w:t>
            </w:r>
          </w:p>
        </w:tc>
      </w:tr>
      <w:tr>
        <w:trPr>
          <w:trHeight w:val="244"/>
        </w:trPr>
        <w:tc>
          <w:tcPr>
            <w:tcW w:w="4600" w:type="dxa"/>
            <w:vAlign w:val="bottom"/>
            <w:shd w:val="clear" w:color="auto" w:fill="EBECEC"/>
          </w:tcPr>
          <w:p>
            <w:pPr>
              <w:spacing w:after="0"/>
              <w:rPr>
                <w:sz w:val="20"/>
                <w:szCs w:val="20"/>
                <w:color w:val="auto"/>
              </w:rPr>
            </w:pPr>
            <w:r>
              <w:rPr>
                <w:rFonts w:ascii="Arial" w:cs="Arial" w:eastAsia="Arial" w:hAnsi="Arial"/>
                <w:sz w:val="20"/>
                <w:szCs w:val="20"/>
                <w:color w:val="231F20"/>
              </w:rPr>
              <w:t>Clinical trials expenses</w:t>
            </w:r>
          </w:p>
        </w:tc>
        <w:tc>
          <w:tcPr>
            <w:tcW w:w="82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9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2,783</w:t>
            </w:r>
          </w:p>
        </w:tc>
        <w:tc>
          <w:tcPr>
            <w:tcW w:w="10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900" w:type="dxa"/>
            <w:vAlign w:val="bottom"/>
            <w:shd w:val="clear" w:color="auto" w:fill="EBECEC"/>
          </w:tcPr>
          <w:p>
            <w:pPr>
              <w:jc w:val="right"/>
              <w:ind w:right="23"/>
              <w:spacing w:after="0"/>
              <w:rPr>
                <w:sz w:val="20"/>
                <w:szCs w:val="20"/>
                <w:color w:val="auto"/>
              </w:rPr>
            </w:pPr>
            <w:r>
              <w:rPr>
                <w:rFonts w:ascii="Arial" w:cs="Arial" w:eastAsia="Arial" w:hAnsi="Arial"/>
                <w:sz w:val="20"/>
                <w:szCs w:val="20"/>
                <w:color w:val="231F20"/>
              </w:rPr>
              <w:t>15,626</w:t>
            </w:r>
          </w:p>
        </w:tc>
        <w:tc>
          <w:tcPr>
            <w:tcW w:w="14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104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(12,843)</w:t>
            </w:r>
          </w:p>
        </w:tc>
        <w:tc>
          <w:tcPr>
            <w:tcW w:w="1400" w:type="dxa"/>
            <w:vAlign w:val="bottom"/>
            <w:gridSpan w:val="2"/>
            <w:shd w:val="clear" w:color="auto" w:fill="EBECEC"/>
          </w:tcPr>
          <w:p>
            <w:pPr>
              <w:jc w:val="right"/>
              <w:spacing w:after="0"/>
              <w:rPr>
                <w:sz w:val="20"/>
                <w:szCs w:val="20"/>
                <w:color w:val="auto"/>
              </w:rPr>
            </w:pPr>
            <w:r>
              <w:rPr>
                <w:rFonts w:ascii="Arial" w:cs="Arial" w:eastAsia="Arial" w:hAnsi="Arial"/>
                <w:sz w:val="20"/>
                <w:szCs w:val="20"/>
                <w:color w:val="231F20"/>
              </w:rPr>
              <w:t>(82%)</w:t>
            </w:r>
          </w:p>
        </w:tc>
      </w:tr>
      <w:tr>
        <w:trPr>
          <w:trHeight w:val="244"/>
        </w:trPr>
        <w:tc>
          <w:tcPr>
            <w:tcW w:w="4600" w:type="dxa"/>
            <w:vAlign w:val="bottom"/>
          </w:tcPr>
          <w:p>
            <w:pPr>
              <w:spacing w:after="0"/>
              <w:rPr>
                <w:sz w:val="20"/>
                <w:szCs w:val="20"/>
                <w:color w:val="auto"/>
              </w:rPr>
            </w:pPr>
            <w:r>
              <w:rPr>
                <w:rFonts w:ascii="Arial" w:cs="Arial" w:eastAsia="Arial" w:hAnsi="Arial"/>
                <w:sz w:val="20"/>
                <w:szCs w:val="20"/>
                <w:color w:val="231F20"/>
              </w:rPr>
              <w:t>Consulting and outside services</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2,400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20"/>
                <w:szCs w:val="20"/>
                <w:color w:val="231F20"/>
              </w:rPr>
              <w:t>4,707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(2,307)</w:t>
            </w:r>
          </w:p>
        </w:tc>
        <w:tc>
          <w:tcPr>
            <w:tcW w:w="1400" w:type="dxa"/>
            <w:vAlign w:val="bottom"/>
            <w:gridSpan w:val="2"/>
          </w:tcPr>
          <w:p>
            <w:pPr>
              <w:jc w:val="right"/>
              <w:spacing w:after="0"/>
              <w:rPr>
                <w:sz w:val="20"/>
                <w:szCs w:val="20"/>
                <w:color w:val="auto"/>
              </w:rPr>
            </w:pPr>
            <w:r>
              <w:rPr>
                <w:rFonts w:ascii="Arial" w:cs="Arial" w:eastAsia="Arial" w:hAnsi="Arial"/>
                <w:sz w:val="20"/>
                <w:szCs w:val="20"/>
                <w:color w:val="231F20"/>
              </w:rPr>
              <w:t>(49%)</w:t>
            </w:r>
          </w:p>
        </w:tc>
      </w:tr>
      <w:tr>
        <w:trPr>
          <w:trHeight w:val="244"/>
        </w:trPr>
        <w:tc>
          <w:tcPr>
            <w:tcW w:w="4600" w:type="dxa"/>
            <w:vAlign w:val="bottom"/>
            <w:shd w:val="clear" w:color="auto" w:fill="EBECEC"/>
          </w:tcPr>
          <w:p>
            <w:pPr>
              <w:spacing w:after="0"/>
              <w:rPr>
                <w:sz w:val="20"/>
                <w:szCs w:val="20"/>
                <w:color w:val="auto"/>
              </w:rPr>
            </w:pPr>
            <w:r>
              <w:rPr>
                <w:rFonts w:ascii="Arial" w:cs="Arial" w:eastAsia="Arial" w:hAnsi="Arial"/>
                <w:sz w:val="20"/>
                <w:szCs w:val="20"/>
                <w:color w:val="231F20"/>
              </w:rPr>
              <w:t>Chemistry manufacturing and controls</w:t>
            </w:r>
          </w:p>
        </w:tc>
        <w:tc>
          <w:tcPr>
            <w:tcW w:w="82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9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1,580</w:t>
            </w:r>
          </w:p>
        </w:tc>
        <w:tc>
          <w:tcPr>
            <w:tcW w:w="10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900" w:type="dxa"/>
            <w:vAlign w:val="bottom"/>
            <w:shd w:val="clear" w:color="auto" w:fill="EBECEC"/>
          </w:tcPr>
          <w:p>
            <w:pPr>
              <w:jc w:val="right"/>
              <w:ind w:right="23"/>
              <w:spacing w:after="0"/>
              <w:rPr>
                <w:sz w:val="20"/>
                <w:szCs w:val="20"/>
                <w:color w:val="auto"/>
              </w:rPr>
            </w:pPr>
            <w:r>
              <w:rPr>
                <w:rFonts w:ascii="Arial" w:cs="Arial" w:eastAsia="Arial" w:hAnsi="Arial"/>
                <w:sz w:val="20"/>
                <w:szCs w:val="20"/>
                <w:color w:val="231F20"/>
              </w:rPr>
              <w:t>2,909</w:t>
            </w:r>
          </w:p>
        </w:tc>
        <w:tc>
          <w:tcPr>
            <w:tcW w:w="14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104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(1,329)</w:t>
            </w:r>
          </w:p>
        </w:tc>
        <w:tc>
          <w:tcPr>
            <w:tcW w:w="1400" w:type="dxa"/>
            <w:vAlign w:val="bottom"/>
            <w:gridSpan w:val="2"/>
            <w:shd w:val="clear" w:color="auto" w:fill="EBECEC"/>
          </w:tcPr>
          <w:p>
            <w:pPr>
              <w:jc w:val="right"/>
              <w:spacing w:after="0"/>
              <w:rPr>
                <w:sz w:val="20"/>
                <w:szCs w:val="20"/>
                <w:color w:val="auto"/>
              </w:rPr>
            </w:pPr>
            <w:r>
              <w:rPr>
                <w:rFonts w:ascii="Arial" w:cs="Arial" w:eastAsia="Arial" w:hAnsi="Arial"/>
                <w:sz w:val="20"/>
                <w:szCs w:val="20"/>
                <w:color w:val="231F20"/>
              </w:rPr>
              <w:t>(46%)</w:t>
            </w:r>
          </w:p>
        </w:tc>
      </w:tr>
      <w:tr>
        <w:trPr>
          <w:trHeight w:val="244"/>
        </w:trPr>
        <w:tc>
          <w:tcPr>
            <w:tcW w:w="4600" w:type="dxa"/>
            <w:vAlign w:val="bottom"/>
            <w:tcBorders>
              <w:bottom w:val="single" w:sz="8" w:color="EBECEC"/>
            </w:tcBorders>
          </w:tcPr>
          <w:p>
            <w:pPr>
              <w:spacing w:after="0"/>
              <w:rPr>
                <w:sz w:val="20"/>
                <w:szCs w:val="20"/>
                <w:color w:val="auto"/>
              </w:rPr>
            </w:pPr>
            <w:r>
              <w:rPr>
                <w:rFonts w:ascii="Arial" w:cs="Arial" w:eastAsia="Arial" w:hAnsi="Arial"/>
                <w:sz w:val="20"/>
                <w:szCs w:val="20"/>
                <w:color w:val="231F20"/>
              </w:rPr>
              <w:t>Other expenses</w:t>
            </w:r>
          </w:p>
        </w:tc>
        <w:tc>
          <w:tcPr>
            <w:tcW w:w="820" w:type="dxa"/>
            <w:vAlign w:val="bottom"/>
            <w:tcBorders>
              <w:bottom w:val="single" w:sz="8" w:color="EBECEC"/>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511</w:t>
            </w:r>
          </w:p>
        </w:tc>
        <w:tc>
          <w:tcPr>
            <w:tcW w:w="100" w:type="dxa"/>
            <w:vAlign w:val="bottom"/>
            <w:tcBorders>
              <w:bottom w:val="single" w:sz="8" w:color="231F20"/>
            </w:tcBorders>
          </w:tcPr>
          <w:p>
            <w:pPr>
              <w:spacing w:after="0"/>
              <w:rPr>
                <w:sz w:val="21"/>
                <w:szCs w:val="21"/>
                <w:color w:val="auto"/>
              </w:rPr>
            </w:pPr>
          </w:p>
        </w:tc>
        <w:tc>
          <w:tcPr>
            <w:tcW w:w="140" w:type="dxa"/>
            <w:vAlign w:val="bottom"/>
            <w:tcBorders>
              <w:bottom w:val="single" w:sz="8" w:color="EBECEC"/>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23"/>
              <w:spacing w:after="0"/>
              <w:rPr>
                <w:sz w:val="20"/>
                <w:szCs w:val="20"/>
                <w:color w:val="auto"/>
              </w:rPr>
            </w:pPr>
            <w:r>
              <w:rPr>
                <w:rFonts w:ascii="Arial" w:cs="Arial" w:eastAsia="Arial" w:hAnsi="Arial"/>
                <w:sz w:val="20"/>
                <w:szCs w:val="20"/>
                <w:color w:val="231F20"/>
              </w:rPr>
              <w:t>433</w:t>
            </w:r>
          </w:p>
        </w:tc>
        <w:tc>
          <w:tcPr>
            <w:tcW w:w="140" w:type="dxa"/>
            <w:vAlign w:val="bottom"/>
            <w:tcBorders>
              <w:bottom w:val="single" w:sz="8" w:color="EBECEC"/>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23"/>
              <w:spacing w:after="0"/>
              <w:rPr>
                <w:sz w:val="20"/>
                <w:szCs w:val="20"/>
                <w:color w:val="auto"/>
              </w:rPr>
            </w:pPr>
            <w:r>
              <w:rPr>
                <w:rFonts w:ascii="Arial" w:cs="Arial" w:eastAsia="Arial" w:hAnsi="Arial"/>
                <w:sz w:val="20"/>
                <w:szCs w:val="20"/>
                <w:color w:val="231F20"/>
              </w:rPr>
              <w:t>78</w:t>
            </w:r>
          </w:p>
        </w:tc>
        <w:tc>
          <w:tcPr>
            <w:tcW w:w="1400" w:type="dxa"/>
            <w:vAlign w:val="bottom"/>
            <w:tcBorders>
              <w:bottom w:val="single" w:sz="8" w:color="EBECEC"/>
            </w:tcBorders>
            <w:gridSpan w:val="2"/>
          </w:tcPr>
          <w:p>
            <w:pPr>
              <w:jc w:val="right"/>
              <w:ind w:right="60"/>
              <w:spacing w:after="0"/>
              <w:rPr>
                <w:sz w:val="20"/>
                <w:szCs w:val="20"/>
                <w:color w:val="auto"/>
              </w:rPr>
            </w:pPr>
            <w:r>
              <w:rPr>
                <w:rFonts w:ascii="Arial" w:cs="Arial" w:eastAsia="Arial" w:hAnsi="Arial"/>
                <w:sz w:val="20"/>
                <w:szCs w:val="20"/>
                <w:color w:val="231F20"/>
              </w:rPr>
              <w:t>18%</w:t>
            </w:r>
          </w:p>
        </w:tc>
      </w:tr>
      <w:tr>
        <w:trPr>
          <w:trHeight w:val="239"/>
        </w:trPr>
        <w:tc>
          <w:tcPr>
            <w:tcW w:w="4600" w:type="dxa"/>
            <w:vAlign w:val="bottom"/>
            <w:shd w:val="clear" w:color="auto" w:fill="EBECEC"/>
          </w:tcPr>
          <w:p>
            <w:pPr>
              <w:spacing w:after="0"/>
              <w:rPr>
                <w:sz w:val="20"/>
                <w:szCs w:val="20"/>
                <w:color w:val="auto"/>
              </w:rPr>
            </w:pPr>
            <w:r>
              <w:rPr>
                <w:rFonts w:ascii="Arial" w:cs="Arial" w:eastAsia="Arial" w:hAnsi="Arial"/>
                <w:sz w:val="20"/>
                <w:szCs w:val="20"/>
                <w:color w:val="231F20"/>
              </w:rPr>
              <w:t>Total research and development expenses</w:t>
            </w:r>
          </w:p>
        </w:tc>
        <w:tc>
          <w:tcPr>
            <w:tcW w:w="820" w:type="dxa"/>
            <w:vAlign w:val="bottom"/>
            <w:shd w:val="clear" w:color="auto" w:fill="EBECEC"/>
          </w:tcPr>
          <w:p>
            <w:pPr>
              <w:spacing w:after="0"/>
              <w:rPr>
                <w:sz w:val="20"/>
                <w:szCs w:val="20"/>
                <w:color w:val="auto"/>
              </w:rPr>
            </w:pPr>
          </w:p>
        </w:tc>
        <w:tc>
          <w:tcPr>
            <w:tcW w:w="240" w:type="dxa"/>
            <w:vAlign w:val="bottom"/>
            <w:tcBorders>
              <w:bottom w:val="single" w:sz="8" w:color="231F20"/>
            </w:tcBorders>
            <w:shd w:val="clear" w:color="auto" w:fill="EBECEC"/>
          </w:tcPr>
          <w:p>
            <w:pPr>
              <w:jc w:val="right"/>
              <w:ind w:right="40"/>
              <w:spacing w:after="0"/>
              <w:rPr>
                <w:sz w:val="20"/>
                <w:szCs w:val="20"/>
                <w:color w:val="auto"/>
              </w:rPr>
            </w:pPr>
            <w:r>
              <w:rPr>
                <w:rFonts w:ascii="Arial" w:cs="Arial" w:eastAsia="Arial" w:hAnsi="Arial"/>
                <w:sz w:val="20"/>
                <w:szCs w:val="20"/>
                <w:color w:val="231F20"/>
                <w:w w:val="71"/>
              </w:rPr>
              <w:t>$</w:t>
            </w:r>
          </w:p>
        </w:tc>
        <w:tc>
          <w:tcPr>
            <w:tcW w:w="90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24,769</w:t>
            </w:r>
          </w:p>
        </w:tc>
        <w:tc>
          <w:tcPr>
            <w:tcW w:w="100" w:type="dxa"/>
            <w:vAlign w:val="bottom"/>
            <w:tcBorders>
              <w:bottom w:val="single" w:sz="8" w:color="231F20"/>
            </w:tcBorders>
            <w:shd w:val="clear" w:color="auto" w:fill="EBECEC"/>
          </w:tcPr>
          <w:p>
            <w:pPr>
              <w:spacing w:after="0"/>
              <w:rPr>
                <w:sz w:val="20"/>
                <w:szCs w:val="20"/>
                <w:color w:val="auto"/>
              </w:rPr>
            </w:pPr>
          </w:p>
        </w:tc>
        <w:tc>
          <w:tcPr>
            <w:tcW w:w="140" w:type="dxa"/>
            <w:vAlign w:val="bottom"/>
            <w:shd w:val="clear" w:color="auto" w:fill="EBECEC"/>
          </w:tcPr>
          <w:p>
            <w:pPr>
              <w:spacing w:after="0"/>
              <w:rPr>
                <w:sz w:val="20"/>
                <w:szCs w:val="20"/>
                <w:color w:val="auto"/>
              </w:rPr>
            </w:pPr>
          </w:p>
        </w:tc>
        <w:tc>
          <w:tcPr>
            <w:tcW w:w="340" w:type="dxa"/>
            <w:vAlign w:val="bottom"/>
            <w:tcBorders>
              <w:bottom w:val="single" w:sz="8" w:color="231F20"/>
            </w:tcBorders>
            <w:shd w:val="clear" w:color="auto" w:fill="EBECEC"/>
          </w:tcPr>
          <w:p>
            <w:pPr>
              <w:jc w:val="right"/>
              <w:ind w:right="140"/>
              <w:spacing w:after="0"/>
              <w:rPr>
                <w:sz w:val="20"/>
                <w:szCs w:val="20"/>
                <w:color w:val="auto"/>
              </w:rPr>
            </w:pPr>
            <w:r>
              <w:rPr>
                <w:rFonts w:ascii="Arial" w:cs="Arial" w:eastAsia="Arial" w:hAnsi="Arial"/>
                <w:sz w:val="20"/>
                <w:szCs w:val="20"/>
                <w:color w:val="231F20"/>
                <w:w w:val="71"/>
              </w:rPr>
              <w:t>$</w:t>
            </w:r>
          </w:p>
        </w:tc>
        <w:tc>
          <w:tcPr>
            <w:tcW w:w="900" w:type="dxa"/>
            <w:vAlign w:val="bottom"/>
            <w:tcBorders>
              <w:bottom w:val="single" w:sz="8" w:color="231F20"/>
            </w:tcBorders>
            <w:shd w:val="clear" w:color="auto" w:fill="EBECEC"/>
          </w:tcPr>
          <w:p>
            <w:pPr>
              <w:jc w:val="right"/>
              <w:ind w:right="23"/>
              <w:spacing w:after="0"/>
              <w:rPr>
                <w:sz w:val="20"/>
                <w:szCs w:val="20"/>
                <w:color w:val="auto"/>
              </w:rPr>
            </w:pPr>
            <w:r>
              <w:rPr>
                <w:rFonts w:ascii="Arial" w:cs="Arial" w:eastAsia="Arial" w:hAnsi="Arial"/>
                <w:sz w:val="20"/>
                <w:szCs w:val="20"/>
                <w:color w:val="231F20"/>
              </w:rPr>
              <w:t>40,488</w:t>
            </w:r>
          </w:p>
        </w:tc>
        <w:tc>
          <w:tcPr>
            <w:tcW w:w="140" w:type="dxa"/>
            <w:vAlign w:val="bottom"/>
            <w:shd w:val="clear" w:color="auto" w:fill="EBECEC"/>
          </w:tcPr>
          <w:p>
            <w:pPr>
              <w:spacing w:after="0"/>
              <w:rPr>
                <w:sz w:val="20"/>
                <w:szCs w:val="20"/>
                <w:color w:val="auto"/>
              </w:rPr>
            </w:pPr>
          </w:p>
        </w:tc>
        <w:tc>
          <w:tcPr>
            <w:tcW w:w="18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w w:val="71"/>
                <w:shd w:val="clear" w:color="auto" w:fill="EBECEC"/>
              </w:rPr>
              <w:t>$</w:t>
            </w:r>
          </w:p>
        </w:tc>
        <w:tc>
          <w:tcPr>
            <w:tcW w:w="104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shd w:val="clear" w:color="auto" w:fill="EBECEC"/>
              </w:rPr>
              <w:t>(15,719)</w:t>
            </w:r>
          </w:p>
        </w:tc>
        <w:tc>
          <w:tcPr>
            <w:tcW w:w="1400" w:type="dxa"/>
            <w:vAlign w:val="bottom"/>
            <w:gridSpan w:val="2"/>
            <w:shd w:val="clear" w:color="auto" w:fill="EBECEC"/>
          </w:tcPr>
          <w:p>
            <w:pPr>
              <w:jc w:val="right"/>
              <w:spacing w:after="0"/>
              <w:rPr>
                <w:sz w:val="20"/>
                <w:szCs w:val="20"/>
                <w:color w:val="auto"/>
              </w:rPr>
            </w:pPr>
            <w:r>
              <w:rPr>
                <w:rFonts w:ascii="Arial" w:cs="Arial" w:eastAsia="Arial" w:hAnsi="Arial"/>
                <w:sz w:val="20"/>
                <w:szCs w:val="20"/>
                <w:color w:val="231F20"/>
              </w:rPr>
              <w:t>(39%)</w:t>
            </w: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-1406525</wp:posOffset>
            </wp:positionV>
            <wp:extent cx="17018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1701800" cy="3810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General and Administrative Expenses</w:t>
      </w:r>
    </w:p>
    <w:p>
      <w:pPr>
        <w:spacing w:after="0" w:line="116" w:lineRule="exact"/>
        <w:rPr>
          <w:sz w:val="20"/>
          <w:szCs w:val="20"/>
          <w:color w:val="auto"/>
        </w:rPr>
      </w:pPr>
    </w:p>
    <w:p>
      <w:pPr>
        <w:ind w:right="120" w:firstLine="490"/>
        <w:spacing w:after="0" w:line="250" w:lineRule="auto"/>
        <w:rPr>
          <w:sz w:val="20"/>
          <w:szCs w:val="20"/>
          <w:color w:val="auto"/>
        </w:rPr>
      </w:pPr>
      <w:r>
        <w:rPr>
          <w:rFonts w:ascii="Arial" w:cs="Arial" w:eastAsia="Arial" w:hAnsi="Arial"/>
          <w:sz w:val="20"/>
          <w:szCs w:val="20"/>
          <w:color w:val="231F20"/>
        </w:rPr>
        <w:t>General and administrative expenses were $13.3 million for the year ended December 31, 2025 compared to $14.1 million for the year ended December 31, 2024. The decrease of $0.8 million was primarily attributable to $0.6 million decrease in personnel-related expenses, primarily related to stock-based compensation expense, and a $0.3 million decrease in professional services expenses. These decreases were partially offset by a $0.1 million increase in facilities and miscellaneous expenses.</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Restructuring Charges</w:t>
      </w:r>
    </w:p>
    <w:p>
      <w:pPr>
        <w:spacing w:after="0" w:line="116" w:lineRule="exact"/>
        <w:rPr>
          <w:sz w:val="20"/>
          <w:szCs w:val="20"/>
          <w:color w:val="auto"/>
        </w:rPr>
      </w:pPr>
    </w:p>
    <w:p>
      <w:pPr>
        <w:ind w:right="80" w:firstLine="490"/>
        <w:spacing w:after="0" w:line="261" w:lineRule="auto"/>
        <w:rPr>
          <w:sz w:val="20"/>
          <w:szCs w:val="20"/>
          <w:color w:val="auto"/>
        </w:rPr>
      </w:pPr>
      <w:r>
        <w:rPr>
          <w:rFonts w:ascii="Arial" w:cs="Arial" w:eastAsia="Arial" w:hAnsi="Arial"/>
          <w:sz w:val="20"/>
          <w:szCs w:val="20"/>
          <w:color w:val="231F20"/>
        </w:rPr>
        <w:t>There were no restructuring charges for the year ended December 31, 2025. Restructuring charges were $2.2 million for the year ended December 31, 2024, consisting of severance payments and other employee termination-related expenses.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Interest Income</w:t>
      </w:r>
    </w:p>
    <w:p>
      <w:pPr>
        <w:spacing w:after="0" w:line="116" w:lineRule="exact"/>
        <w:rPr>
          <w:sz w:val="20"/>
          <w:szCs w:val="20"/>
          <w:color w:val="auto"/>
        </w:rPr>
      </w:pPr>
    </w:p>
    <w:p>
      <w:pPr>
        <w:ind w:right="60" w:firstLine="490"/>
        <w:spacing w:after="0" w:line="261" w:lineRule="auto"/>
        <w:rPr>
          <w:sz w:val="20"/>
          <w:szCs w:val="20"/>
          <w:color w:val="auto"/>
        </w:rPr>
      </w:pPr>
      <w:r>
        <w:rPr>
          <w:rFonts w:ascii="Arial" w:cs="Arial" w:eastAsia="Arial" w:hAnsi="Arial"/>
          <w:sz w:val="20"/>
          <w:szCs w:val="20"/>
          <w:color w:val="231F20"/>
        </w:rPr>
        <w:t>Interest Income was $2.9 million for the year ended December 31, 2025 compared to $5.5 million for the year ended December 31, 2024. The decrease of $2.6 million was due to lower cash, cash equivalents and short and long-term investment balances and lower interest rates in 2025 as compared to 2024.</w:t>
      </w:r>
    </w:p>
    <w:p>
      <w:pPr>
        <w:sectPr>
          <w:pgSz w:w="11880" w:h="15480" w:orient="portrait"/>
          <w:cols w:equalWidth="0" w:num="1">
            <w:col w:w="10800"/>
          </w:cols>
          <w:pgMar w:left="540" w:top="75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10800"/>
          </w:cols>
          <w:pgMar w:left="540" w:top="754" w:right="54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b w:val="1"/>
          <w:bCs w:val="1"/>
          <w:color w:val="231F20"/>
        </w:rPr>
        <w:t>Liquidity and Capital Resources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Sources of Liquidity</w:t>
      </w:r>
    </w:p>
    <w:p>
      <w:pPr>
        <w:spacing w:after="0" w:line="116" w:lineRule="exact"/>
        <w:rPr>
          <w:sz w:val="20"/>
          <w:szCs w:val="20"/>
          <w:color w:val="auto"/>
        </w:rPr>
      </w:pPr>
    </w:p>
    <w:p>
      <w:pPr>
        <w:ind w:right="240" w:firstLine="490"/>
        <w:spacing w:after="0" w:line="248" w:lineRule="auto"/>
        <w:rPr>
          <w:sz w:val="20"/>
          <w:szCs w:val="20"/>
          <w:color w:val="auto"/>
        </w:rPr>
      </w:pPr>
      <w:r>
        <w:rPr>
          <w:rFonts w:ascii="Arial" w:cs="Arial" w:eastAsia="Arial" w:hAnsi="Arial"/>
          <w:sz w:val="20"/>
          <w:szCs w:val="20"/>
          <w:color w:val="231F20"/>
        </w:rPr>
        <w:t>We have incurred net losses since our inception. For the years ended December 31, 2025 and 2024, we had net losses of $35.2 million and $51.3 million, respectively, and we expect to incur substantial additional losses in future periods. As of December 31, 2025, we had an accumulated deficit of $241.0 million. As of December 31, 2025, we had cash, cash equivalents, short-term investments and long-term investments of $60.0 million. Based on our current business plan, we believe that our available cash will be sufficient to fund our planned operations for at least 12 months following the date of this Form 10-K.</w:t>
      </w:r>
    </w:p>
    <w:p>
      <w:pPr>
        <w:spacing w:after="0" w:line="194" w:lineRule="exact"/>
        <w:rPr>
          <w:sz w:val="20"/>
          <w:szCs w:val="20"/>
          <w:color w:val="auto"/>
        </w:rPr>
      </w:pPr>
    </w:p>
    <w:p>
      <w:pPr>
        <w:ind w:right="80" w:firstLine="490"/>
        <w:spacing w:after="0" w:line="244" w:lineRule="auto"/>
        <w:rPr>
          <w:sz w:val="20"/>
          <w:szCs w:val="20"/>
          <w:color w:val="auto"/>
        </w:rPr>
      </w:pPr>
      <w:r>
        <w:rPr>
          <w:rFonts w:ascii="Arial" w:cs="Arial" w:eastAsia="Arial" w:hAnsi="Arial"/>
          <w:sz w:val="20"/>
          <w:szCs w:val="20"/>
          <w:color w:val="231F20"/>
        </w:rPr>
        <w:t>To date, we have funded our operations primarily through our Underwritten Offering, ATM Offering, IPO and private placements of our then existing redeemable convertible preferred stock. In March 2026, we generated aggregate gross proceeds from the Private Placement of $40.0 million before deducting the placement agent’s fees and other offering expenses. In August 2023, we generated approximately $65.5 million from the Underwritten Offering, after deducting commissions and offering expenses. In June 2023, we generated approximately $19.1 million in net proceeds from the ATM Offering, after deducting commissions and offering expenses. In March and April 2022, we generated aggregate net proceeds of approximately $70.4 million from our IPO, after deducting underwriting discounts and commissions and offering expenses. Prior to our IPO, we raised $91.6 million from the issuance of our redeemable convertible preferred stock. Upon the closing of our IPO, all outstanding shares of our then existing redeemable convertible preferred stock were converted into shares of our common stock.</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Future Funding Requirements</w:t>
      </w:r>
    </w:p>
    <w:p>
      <w:pPr>
        <w:spacing w:after="0" w:line="116"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231F20"/>
        </w:rPr>
        <w:t>We do not have any products approved for sale, and we have never generated any revenue from contracts with customers. We do not expect to generate any meaningful revenue unless and until we obtain regulatory approval for and commercialize any of our current and future product candidates and we do not know when, or if, those events will occur. Historically, we have incurred operating losses and negative cash flows as a result of ongoing efforts to develop our initial drug product candidate, epetraborole, including conducting ongoing preclinical and nonclinical studies, clinical trials, registration API and drug product materials manufacturing, and providing general and administrative support for these operations. We expect our negative cash flows to increase significantly over the next several years as we advance our product candidates through clinical development, seek regulatory approval, prepare for and, if approved, proceed to commercialization, and continue our research and development efforts. We are subject to all the risks typically related to the development of new product candidates, and we may encounter unforeseen expenses, difficulties, complications, delays, and other unknown factors that may adversely affect our business. Moreover, we expect to continue to incur costs associated with operating as a public company. We anticipate that we will need substantial additional funding in connection with our continuing operations, as we do not expect positive cash flows from operations in the foreseeable future.</w:t>
      </w:r>
    </w:p>
    <w:p>
      <w:pPr>
        <w:spacing w:after="0" w:line="200"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Until we can generate a sufficient amount of revenue from the commercialization of our product candidates, if ever, we expect to finance our future cash needs through public or private equity offerings or debt financings.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current or future product candidates. If we raise additional funds by issuing equity or convertible debt securities, it could result in dilution to our existing stockholders and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candidates or grant licenses on terms that are not favorable to us. Any of the foregoing could significantly harm our business, financial condition, results of operations, and prospects.</w:t>
      </w:r>
    </w:p>
    <w:p>
      <w:pPr>
        <w:spacing w:after="0" w:line="200" w:lineRule="exact"/>
        <w:rPr>
          <w:sz w:val="20"/>
          <w:szCs w:val="20"/>
          <w:color w:val="auto"/>
        </w:rPr>
      </w:pPr>
    </w:p>
    <w:p>
      <w:pPr>
        <w:ind w:right="20" w:firstLine="490"/>
        <w:spacing w:after="0" w:line="271" w:lineRule="auto"/>
        <w:rPr>
          <w:sz w:val="20"/>
          <w:szCs w:val="20"/>
          <w:color w:val="auto"/>
        </w:rPr>
      </w:pPr>
      <w:r>
        <w:rPr>
          <w:rFonts w:ascii="Arial" w:cs="Arial" w:eastAsia="Arial" w:hAnsi="Arial"/>
          <w:sz w:val="19"/>
          <w:szCs w:val="19"/>
          <w:color w:val="231F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product candidates, we are unable to estimate the exact amount of our operating capital requirements. Our future capital requirements depend on many factors, including:</w:t>
      </w:r>
    </w:p>
    <w:p>
      <w:pPr>
        <w:spacing w:after="0" w:line="67" w:lineRule="exact"/>
        <w:rPr>
          <w:sz w:val="20"/>
          <w:szCs w:val="20"/>
          <w:color w:val="auto"/>
        </w:rPr>
      </w:pPr>
    </w:p>
    <w:p>
      <w:pPr>
        <w:ind w:left="980" w:right="260" w:hanging="490"/>
        <w:spacing w:after="0" w:line="282" w:lineRule="auto"/>
        <w:tabs>
          <w:tab w:leader="none" w:pos="980" w:val="left"/>
        </w:tabs>
        <w:numPr>
          <w:ilvl w:val="0"/>
          <w:numId w:val="46"/>
        </w:numPr>
        <w:rPr>
          <w:rFonts w:ascii="Arial" w:cs="Arial" w:eastAsia="Arial" w:hAnsi="Arial"/>
          <w:sz w:val="20"/>
          <w:szCs w:val="20"/>
          <w:color w:val="231F20"/>
        </w:rPr>
      </w:pPr>
      <w:r>
        <w:rPr>
          <w:rFonts w:ascii="Arial" w:cs="Arial" w:eastAsia="Arial" w:hAnsi="Arial"/>
          <w:sz w:val="20"/>
          <w:szCs w:val="20"/>
          <w:color w:val="231F20"/>
        </w:rPr>
        <w:t>the scope, timing, rate of progress, results and costs of our preclinical and nonclinical development activities and clinical trials for our current and future product candidates;</w:t>
      </w:r>
    </w:p>
    <w:p>
      <w:pPr>
        <w:sectPr>
          <w:pgSz w:w="11880" w:h="15480" w:orient="portrait"/>
          <w:cols w:equalWidth="0" w:num="1">
            <w:col w:w="10780"/>
          </w:cols>
          <w:pgMar w:left="540" w:top="746" w:right="560" w:bottom="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780"/>
          </w:cols>
          <w:pgMar w:left="540" w:top="746" w:right="560" w:bottom="0" w:gutter="0" w:footer="0" w:header="0"/>
          <w:type w:val="continuous"/>
        </w:sectPr>
      </w:pPr>
    </w:p>
    <w:bookmarkStart w:id="78" w:name="page79"/>
    <w:bookmarkEnd w:id="78"/>
    <w:p>
      <w:pPr>
        <w:ind w:left="980" w:hanging="490"/>
        <w:spacing w:after="0"/>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the timing of, and the costs involved in, obtaining regulatory approvals for our drug product candidates;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the timing of enrollment of any future clinical trials;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the scope and costs of development and commercial manufacturing activities;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the number and characteristics of any additional product candidates we develop or acquire;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the cost of manufacturing our product candidates that we successfully commercialize;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the cost of building a specialty sales force in anticipation of product commercialization;</w:t>
      </w:r>
    </w:p>
    <w:p>
      <w:pPr>
        <w:spacing w:after="0" w:line="133" w:lineRule="exact"/>
        <w:rPr>
          <w:rFonts w:ascii="Arial" w:cs="Arial" w:eastAsia="Arial" w:hAnsi="Arial"/>
          <w:sz w:val="20"/>
          <w:szCs w:val="20"/>
          <w:color w:val="231F20"/>
        </w:rPr>
      </w:pPr>
    </w:p>
    <w:p>
      <w:pPr>
        <w:ind w:left="980" w:right="280" w:hanging="490"/>
        <w:spacing w:after="0" w:line="282" w:lineRule="auto"/>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the cost of commercialization activities, including building a commercial infrastructure, marketing, sales, and distribution costs;</w:t>
      </w:r>
    </w:p>
    <w:p>
      <w:pPr>
        <w:spacing w:after="0" w:line="53" w:lineRule="exact"/>
        <w:rPr>
          <w:rFonts w:ascii="Arial" w:cs="Arial" w:eastAsia="Arial" w:hAnsi="Arial"/>
          <w:sz w:val="20"/>
          <w:szCs w:val="20"/>
          <w:color w:val="231F20"/>
        </w:rPr>
      </w:pPr>
    </w:p>
    <w:p>
      <w:pPr>
        <w:ind w:left="980" w:right="340" w:hanging="490"/>
        <w:spacing w:after="0" w:line="261" w:lineRule="auto"/>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7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any securities class action, product liability or other lawsuits related to our products;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the expenses needed to attract, hire, and retain skilled personnel;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our implementation of operational, financial, and management systems;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the ongoing costs associated with being a public company;</w:t>
      </w:r>
    </w:p>
    <w:p>
      <w:pPr>
        <w:spacing w:after="0" w:line="133" w:lineRule="exact"/>
        <w:rPr>
          <w:rFonts w:ascii="Arial" w:cs="Arial" w:eastAsia="Arial" w:hAnsi="Arial"/>
          <w:sz w:val="20"/>
          <w:szCs w:val="20"/>
          <w:color w:val="231F20"/>
        </w:rPr>
      </w:pPr>
    </w:p>
    <w:p>
      <w:pPr>
        <w:ind w:left="980" w:right="640" w:hanging="490"/>
        <w:spacing w:after="0" w:line="282" w:lineRule="auto"/>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the costs involved in preparing, filing, prosecuting, maintaining, defending, and enforcing our intellectual property portfolio; and</w:t>
      </w:r>
    </w:p>
    <w:p>
      <w:pPr>
        <w:spacing w:after="0" w:line="5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the timing, receipt, and amount of sales of any future approved products, if any.</w:t>
      </w:r>
    </w:p>
    <w:p>
      <w:pPr>
        <w:spacing w:after="0" w:line="240" w:lineRule="exact"/>
        <w:rPr>
          <w:sz w:val="20"/>
          <w:szCs w:val="20"/>
          <w:color w:val="auto"/>
        </w:rPr>
      </w:pPr>
    </w:p>
    <w:p>
      <w:pPr>
        <w:ind w:firstLine="490"/>
        <w:spacing w:after="0" w:line="246" w:lineRule="auto"/>
        <w:rPr>
          <w:sz w:val="20"/>
          <w:szCs w:val="20"/>
          <w:color w:val="auto"/>
        </w:rPr>
      </w:pPr>
      <w:r>
        <w:rPr>
          <w:rFonts w:ascii="Arial" w:cs="Arial" w:eastAsia="Arial" w:hAnsi="Arial"/>
          <w:sz w:val="20"/>
          <w:szCs w:val="20"/>
          <w:color w:val="231F20"/>
        </w:rPr>
        <w:t>A change in the outcome of any of these or other variables with respect to the development of any of our current and future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Any future debt financing into which we enter may impose upon us additional covenants that restrict our operations, including limitation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94"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231F20"/>
        </w:rPr>
        <w:t>Adequate funding may not be available to us on acceptable terms or at all. Our failure to raise capital as and when needed could have a negative impact on our financial condition and ability to pursue our business strategies. If we are unable to raise additional funds when needed, we may be required to delay, reduce or terminate some or all of our development programs and clinical trials or we may also be required to terminate rights to future product candidates.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193" w:lineRule="exact"/>
        <w:rPr>
          <w:sz w:val="20"/>
          <w:szCs w:val="20"/>
          <w:color w:val="auto"/>
        </w:rPr>
      </w:pPr>
    </w:p>
    <w:p>
      <w:pPr>
        <w:ind w:right="720" w:firstLine="490"/>
        <w:spacing w:after="0" w:line="282" w:lineRule="auto"/>
        <w:rPr>
          <w:sz w:val="20"/>
          <w:szCs w:val="20"/>
          <w:color w:val="auto"/>
        </w:rPr>
      </w:pPr>
      <w:r>
        <w:rPr>
          <w:rFonts w:ascii="Arial" w:cs="Arial" w:eastAsia="Arial" w:hAnsi="Arial"/>
          <w:sz w:val="20"/>
          <w:szCs w:val="20"/>
          <w:color w:val="231F20"/>
        </w:rPr>
        <w:t>See the section titled “Risk Factors” in Part I, Item 1A of this Annual Report on Form 10-K for additional risks associated with our substantial capital requirements.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Summary Statements of Cash Flows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The following table sets forth a summary of the primary sources and uses of cash:</w:t>
      </w:r>
    </w:p>
    <w:p>
      <w:pPr>
        <w:spacing w:after="0" w:line="241"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center"/>
              <w:ind w:left="530"/>
              <w:spacing w:after="0"/>
              <w:rPr>
                <w:sz w:val="20"/>
                <w:szCs w:val="20"/>
                <w:color w:val="auto"/>
              </w:rPr>
            </w:pPr>
            <w:r>
              <w:rPr>
                <w:rFonts w:ascii="Arial" w:cs="Arial" w:eastAsia="Arial" w:hAnsi="Arial"/>
                <w:sz w:val="16"/>
                <w:szCs w:val="16"/>
                <w:b w:val="1"/>
                <w:bCs w:val="1"/>
                <w:color w:val="231F20"/>
                <w:w w:val="99"/>
              </w:rPr>
              <w:t>Year Ended</w:t>
            </w:r>
          </w:p>
        </w:tc>
        <w:tc>
          <w:tcPr>
            <w:tcW w:w="1000" w:type="dxa"/>
            <w:vAlign w:val="bottom"/>
          </w:tcPr>
          <w:p>
            <w:pPr>
              <w:spacing w:after="0"/>
              <w:rPr>
                <w:sz w:val="16"/>
                <w:szCs w:val="16"/>
                <w:color w:val="auto"/>
              </w:rPr>
            </w:pPr>
          </w:p>
        </w:tc>
      </w:tr>
      <w:tr>
        <w:trPr>
          <w:trHeight w:val="203"/>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820" w:type="dxa"/>
            <w:vAlign w:val="bottom"/>
            <w:tcBorders>
              <w:bottom w:val="single" w:sz="8" w:color="231F20"/>
            </w:tcBorders>
            <w:gridSpan w:val="3"/>
          </w:tcPr>
          <w:p>
            <w:pPr>
              <w:jc w:val="center"/>
              <w:ind w:left="530"/>
              <w:spacing w:after="0"/>
              <w:rPr>
                <w:sz w:val="20"/>
                <w:szCs w:val="20"/>
                <w:color w:val="auto"/>
              </w:rPr>
            </w:pPr>
            <w:r>
              <w:rPr>
                <w:rFonts w:ascii="Arial" w:cs="Arial" w:eastAsia="Arial" w:hAnsi="Arial"/>
                <w:sz w:val="16"/>
                <w:szCs w:val="16"/>
                <w:b w:val="1"/>
                <w:bCs w:val="1"/>
                <w:color w:val="231F20"/>
                <w:w w:val="99"/>
              </w:rPr>
              <w:t>December 31,</w:t>
            </w:r>
          </w:p>
        </w:tc>
        <w:tc>
          <w:tcPr>
            <w:tcW w:w="1000" w:type="dxa"/>
            <w:vAlign w:val="bottom"/>
            <w:tcBorders>
              <w:bottom w:val="single" w:sz="8" w:color="231F20"/>
            </w:tcBorders>
          </w:tcPr>
          <w:p>
            <w:pPr>
              <w:spacing w:after="0"/>
              <w:rPr>
                <w:sz w:val="17"/>
                <w:szCs w:val="17"/>
                <w:color w:val="auto"/>
              </w:rPr>
            </w:pPr>
          </w:p>
        </w:tc>
      </w:tr>
      <w:tr>
        <w:trPr>
          <w:trHeight w:val="179"/>
        </w:trPr>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180" w:type="dxa"/>
            <w:vAlign w:val="bottom"/>
            <w:tcBorders>
              <w:bottom w:val="single" w:sz="8" w:color="231F20"/>
            </w:tcBorders>
          </w:tcPr>
          <w:p>
            <w:pPr>
              <w:jc w:val="right"/>
              <w:ind w:right="530"/>
              <w:spacing w:after="0" w:line="179" w:lineRule="exact"/>
              <w:rPr>
                <w:sz w:val="20"/>
                <w:szCs w:val="20"/>
                <w:color w:val="auto"/>
              </w:rPr>
            </w:pPr>
            <w:r>
              <w:rPr>
                <w:rFonts w:ascii="Arial" w:cs="Arial" w:eastAsia="Arial" w:hAnsi="Arial"/>
                <w:sz w:val="16"/>
                <w:szCs w:val="16"/>
                <w:b w:val="1"/>
                <w:bCs w:val="1"/>
                <w:color w:val="231F20"/>
              </w:rPr>
              <w:t>2025</w:t>
            </w:r>
          </w:p>
        </w:tc>
        <w:tc>
          <w:tcPr>
            <w:tcW w:w="160" w:type="dxa"/>
            <w:vAlign w:val="bottom"/>
          </w:tcPr>
          <w:p>
            <w:pPr>
              <w:spacing w:after="0"/>
              <w:rPr>
                <w:sz w:val="15"/>
                <w:szCs w:val="15"/>
                <w:color w:val="auto"/>
              </w:rPr>
            </w:pPr>
          </w:p>
        </w:tc>
        <w:tc>
          <w:tcPr>
            <w:tcW w:w="480" w:type="dxa"/>
            <w:vAlign w:val="bottom"/>
            <w:tcBorders>
              <w:bottom w:val="single" w:sz="8" w:color="231F20"/>
            </w:tcBorders>
          </w:tcPr>
          <w:p>
            <w:pPr>
              <w:spacing w:after="0"/>
              <w:rPr>
                <w:sz w:val="15"/>
                <w:szCs w:val="15"/>
                <w:color w:val="auto"/>
              </w:rPr>
            </w:pPr>
          </w:p>
        </w:tc>
        <w:tc>
          <w:tcPr>
            <w:tcW w:w="1000" w:type="dxa"/>
            <w:vAlign w:val="bottom"/>
            <w:tcBorders>
              <w:bottom w:val="single" w:sz="8" w:color="231F20"/>
            </w:tcBorders>
          </w:tcPr>
          <w:p>
            <w:pPr>
              <w:jc w:val="right"/>
              <w:ind w:right="504"/>
              <w:spacing w:after="0" w:line="179" w:lineRule="exact"/>
              <w:rPr>
                <w:sz w:val="20"/>
                <w:szCs w:val="20"/>
                <w:color w:val="auto"/>
              </w:rPr>
            </w:pPr>
            <w:r>
              <w:rPr>
                <w:rFonts w:ascii="Arial" w:cs="Arial" w:eastAsia="Arial" w:hAnsi="Arial"/>
                <w:sz w:val="16"/>
                <w:szCs w:val="16"/>
                <w:b w:val="1"/>
                <w:bCs w:val="1"/>
                <w:color w:val="231F20"/>
              </w:rPr>
              <w:t>2024</w:t>
            </w:r>
          </w:p>
        </w:tc>
      </w:tr>
      <w:tr>
        <w:trPr>
          <w:trHeight w:val="179"/>
        </w:trPr>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3"/>
          </w:tcPr>
          <w:p>
            <w:pPr>
              <w:jc w:val="center"/>
              <w:ind w:left="510"/>
              <w:spacing w:after="0" w:line="179" w:lineRule="exact"/>
              <w:rPr>
                <w:sz w:val="20"/>
                <w:szCs w:val="20"/>
                <w:color w:val="auto"/>
              </w:rPr>
            </w:pPr>
            <w:r>
              <w:rPr>
                <w:rFonts w:ascii="Arial" w:cs="Arial" w:eastAsia="Arial" w:hAnsi="Arial"/>
                <w:sz w:val="16"/>
                <w:szCs w:val="16"/>
                <w:b w:val="1"/>
                <w:bCs w:val="1"/>
                <w:color w:val="231F20"/>
                <w:w w:val="99"/>
              </w:rPr>
              <w:t>(in thousands)</w:t>
            </w:r>
          </w:p>
        </w:tc>
        <w:tc>
          <w:tcPr>
            <w:tcW w:w="1000" w:type="dxa"/>
            <w:vAlign w:val="bottom"/>
          </w:tcPr>
          <w:p>
            <w:pPr>
              <w:spacing w:after="0"/>
              <w:rPr>
                <w:sz w:val="15"/>
                <w:szCs w:val="15"/>
                <w:color w:val="auto"/>
              </w:rPr>
            </w:pPr>
          </w:p>
        </w:tc>
      </w:tr>
      <w:tr>
        <w:trPr>
          <w:trHeight w:val="230"/>
        </w:trPr>
        <w:tc>
          <w:tcPr>
            <w:tcW w:w="6580" w:type="dxa"/>
            <w:vAlign w:val="bottom"/>
            <w:shd w:val="clear" w:color="auto" w:fill="EBECEC"/>
          </w:tcPr>
          <w:p>
            <w:pPr>
              <w:spacing w:after="0"/>
              <w:rPr>
                <w:sz w:val="20"/>
                <w:szCs w:val="20"/>
                <w:color w:val="auto"/>
              </w:rPr>
            </w:pPr>
            <w:r>
              <w:rPr>
                <w:rFonts w:ascii="Arial" w:cs="Arial" w:eastAsia="Arial" w:hAnsi="Arial"/>
                <w:sz w:val="20"/>
                <w:szCs w:val="20"/>
                <w:color w:val="231F20"/>
              </w:rPr>
              <w:t>Cash used in operating activities</w:t>
            </w:r>
          </w:p>
        </w:tc>
        <w:tc>
          <w:tcPr>
            <w:tcW w:w="320" w:type="dxa"/>
            <w:vAlign w:val="bottom"/>
            <w:gridSpan w:val="2"/>
            <w:shd w:val="clear" w:color="auto" w:fill="EBECEC"/>
          </w:tcPr>
          <w:p>
            <w:pPr>
              <w:jc w:val="right"/>
              <w:ind w:right="100"/>
              <w:spacing w:after="0"/>
              <w:rPr>
                <w:sz w:val="20"/>
                <w:szCs w:val="20"/>
                <w:color w:val="auto"/>
              </w:rPr>
            </w:pPr>
            <w:r>
              <w:rPr>
                <w:rFonts w:ascii="Arial" w:cs="Arial" w:eastAsia="Arial" w:hAnsi="Arial"/>
                <w:sz w:val="20"/>
                <w:szCs w:val="20"/>
                <w:color w:val="231F20"/>
                <w:w w:val="89"/>
              </w:rPr>
              <w:t>$</w:t>
            </w:r>
          </w:p>
        </w:tc>
        <w:tc>
          <w:tcPr>
            <w:tcW w:w="11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(29,834)</w:t>
            </w:r>
          </w:p>
        </w:tc>
        <w:tc>
          <w:tcPr>
            <w:tcW w:w="640" w:type="dxa"/>
            <w:vAlign w:val="bottom"/>
            <w:gridSpan w:val="2"/>
            <w:shd w:val="clear" w:color="auto" w:fill="EBECEC"/>
          </w:tcPr>
          <w:p>
            <w:pPr>
              <w:jc w:val="right"/>
              <w:ind w:right="260"/>
              <w:spacing w:after="0"/>
              <w:rPr>
                <w:sz w:val="20"/>
                <w:szCs w:val="20"/>
                <w:color w:val="auto"/>
              </w:rPr>
            </w:pPr>
            <w:r>
              <w:rPr>
                <w:rFonts w:ascii="Arial" w:cs="Arial" w:eastAsia="Arial" w:hAnsi="Arial"/>
                <w:sz w:val="20"/>
                <w:szCs w:val="20"/>
                <w:color w:val="231F20"/>
              </w:rPr>
              <w:t>$</w:t>
            </w:r>
          </w:p>
        </w:tc>
        <w:tc>
          <w:tcPr>
            <w:tcW w:w="10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(49,257)</w:t>
            </w:r>
          </w:p>
        </w:tc>
      </w:tr>
      <w:tr>
        <w:trPr>
          <w:trHeight w:val="230"/>
        </w:trPr>
        <w:tc>
          <w:tcPr>
            <w:tcW w:w="6580" w:type="dxa"/>
            <w:vAlign w:val="bottom"/>
          </w:tcPr>
          <w:p>
            <w:pPr>
              <w:spacing w:after="0"/>
              <w:rPr>
                <w:sz w:val="20"/>
                <w:szCs w:val="20"/>
                <w:color w:val="auto"/>
              </w:rPr>
            </w:pPr>
            <w:r>
              <w:rPr>
                <w:rFonts w:ascii="Arial" w:cs="Arial" w:eastAsia="Arial" w:hAnsi="Arial"/>
                <w:sz w:val="20"/>
                <w:szCs w:val="20"/>
                <w:color w:val="231F20"/>
              </w:rPr>
              <w:t>Cash provided by investing activities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231F20"/>
              </w:rPr>
              <w:t>28,311</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54,589</w:t>
            </w:r>
          </w:p>
        </w:tc>
      </w:tr>
      <w:tr>
        <w:trPr>
          <w:trHeight w:val="230"/>
        </w:trPr>
        <w:tc>
          <w:tcPr>
            <w:tcW w:w="6580" w:type="dxa"/>
            <w:vAlign w:val="bottom"/>
            <w:shd w:val="clear" w:color="auto" w:fill="EBECEC"/>
          </w:tcPr>
          <w:p>
            <w:pPr>
              <w:spacing w:after="0"/>
              <w:rPr>
                <w:sz w:val="20"/>
                <w:szCs w:val="20"/>
                <w:color w:val="auto"/>
              </w:rPr>
            </w:pPr>
            <w:r>
              <w:rPr>
                <w:rFonts w:ascii="Arial" w:cs="Arial" w:eastAsia="Arial" w:hAnsi="Arial"/>
                <w:sz w:val="20"/>
                <w:szCs w:val="20"/>
                <w:color w:val="231F20"/>
              </w:rPr>
              <w:t>Cash provided by financing activities</w:t>
            </w:r>
          </w:p>
        </w:tc>
        <w:tc>
          <w:tcPr>
            <w:tcW w:w="20" w:type="dxa"/>
            <w:vAlign w:val="bottom"/>
            <w:shd w:val="clear" w:color="auto" w:fill="EBECEC"/>
          </w:tcPr>
          <w:p>
            <w:pPr>
              <w:spacing w:after="0"/>
              <w:rPr>
                <w:sz w:val="20"/>
                <w:szCs w:val="20"/>
                <w:color w:val="auto"/>
              </w:rPr>
            </w:pPr>
          </w:p>
        </w:tc>
        <w:tc>
          <w:tcPr>
            <w:tcW w:w="300" w:type="dxa"/>
            <w:vAlign w:val="bottom"/>
            <w:tcBorders>
              <w:bottom w:val="single" w:sz="8" w:color="231F20"/>
            </w:tcBorders>
            <w:shd w:val="clear" w:color="auto" w:fill="EBECEC"/>
          </w:tcPr>
          <w:p>
            <w:pPr>
              <w:spacing w:after="0"/>
              <w:rPr>
                <w:sz w:val="20"/>
                <w:szCs w:val="20"/>
                <w:color w:val="auto"/>
              </w:rPr>
            </w:pPr>
          </w:p>
        </w:tc>
        <w:tc>
          <w:tcPr>
            <w:tcW w:w="118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113</w:t>
            </w:r>
          </w:p>
        </w:tc>
        <w:tc>
          <w:tcPr>
            <w:tcW w:w="160" w:type="dxa"/>
            <w:vAlign w:val="bottom"/>
            <w:shd w:val="clear" w:color="auto" w:fill="EBECEC"/>
          </w:tcPr>
          <w:p>
            <w:pPr>
              <w:spacing w:after="0"/>
              <w:rPr>
                <w:sz w:val="20"/>
                <w:szCs w:val="20"/>
                <w:color w:val="auto"/>
              </w:rPr>
            </w:pPr>
          </w:p>
        </w:tc>
        <w:tc>
          <w:tcPr>
            <w:tcW w:w="480" w:type="dxa"/>
            <w:vAlign w:val="bottom"/>
            <w:tcBorders>
              <w:bottom w:val="single" w:sz="8" w:color="231F20"/>
            </w:tcBorders>
            <w:shd w:val="clear" w:color="auto" w:fill="EBECEC"/>
          </w:tcPr>
          <w:p>
            <w:pPr>
              <w:spacing w:after="0"/>
              <w:rPr>
                <w:sz w:val="20"/>
                <w:szCs w:val="20"/>
                <w:color w:val="auto"/>
              </w:rPr>
            </w:pPr>
          </w:p>
        </w:tc>
        <w:tc>
          <w:tcPr>
            <w:tcW w:w="100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372</w:t>
            </w:r>
          </w:p>
        </w:tc>
      </w:tr>
      <w:tr>
        <w:trPr>
          <w:trHeight w:val="225"/>
        </w:trPr>
        <w:tc>
          <w:tcPr>
            <w:tcW w:w="6580" w:type="dxa"/>
            <w:vAlign w:val="bottom"/>
          </w:tcPr>
          <w:p>
            <w:pPr>
              <w:spacing w:after="0" w:line="225" w:lineRule="exact"/>
              <w:rPr>
                <w:sz w:val="20"/>
                <w:szCs w:val="20"/>
                <w:color w:val="auto"/>
              </w:rPr>
            </w:pPr>
            <w:r>
              <w:rPr>
                <w:rFonts w:ascii="Arial" w:cs="Arial" w:eastAsia="Arial" w:hAnsi="Arial"/>
                <w:sz w:val="20"/>
                <w:szCs w:val="20"/>
                <w:color w:val="231F20"/>
              </w:rPr>
              <w:t>Net (decrease) increase in cash and cash equivalents</w:t>
            </w:r>
          </w:p>
        </w:tc>
        <w:tc>
          <w:tcPr>
            <w:tcW w:w="20" w:type="dxa"/>
            <w:vAlign w:val="bottom"/>
          </w:tcPr>
          <w:p>
            <w:pPr>
              <w:spacing w:after="0"/>
              <w:rPr>
                <w:sz w:val="19"/>
                <w:szCs w:val="19"/>
                <w:color w:val="auto"/>
              </w:rPr>
            </w:pPr>
          </w:p>
        </w:tc>
        <w:tc>
          <w:tcPr>
            <w:tcW w:w="300" w:type="dxa"/>
            <w:vAlign w:val="bottom"/>
            <w:tcBorders>
              <w:bottom w:val="single" w:sz="8" w:color="231F20"/>
            </w:tcBorders>
          </w:tcPr>
          <w:p>
            <w:pPr>
              <w:jc w:val="right"/>
              <w:ind w:right="100"/>
              <w:spacing w:after="0" w:line="225" w:lineRule="exact"/>
              <w:rPr>
                <w:sz w:val="20"/>
                <w:szCs w:val="20"/>
                <w:color w:val="auto"/>
              </w:rPr>
            </w:pPr>
            <w:r>
              <w:rPr>
                <w:rFonts w:ascii="Arial" w:cs="Arial" w:eastAsia="Arial" w:hAnsi="Arial"/>
                <w:sz w:val="20"/>
                <w:szCs w:val="20"/>
                <w:color w:val="231F20"/>
                <w:w w:val="71"/>
              </w:rPr>
              <w:t>$</w:t>
            </w:r>
          </w:p>
        </w:tc>
        <w:tc>
          <w:tcPr>
            <w:tcW w:w="1180" w:type="dxa"/>
            <w:vAlign w:val="bottom"/>
            <w:tcBorders>
              <w:bottom w:val="single" w:sz="8" w:color="231F20"/>
            </w:tcBorders>
          </w:tcPr>
          <w:p>
            <w:pPr>
              <w:jc w:val="right"/>
              <w:spacing w:after="0" w:line="225" w:lineRule="exact"/>
              <w:rPr>
                <w:sz w:val="20"/>
                <w:szCs w:val="20"/>
                <w:color w:val="auto"/>
              </w:rPr>
            </w:pPr>
            <w:r>
              <w:rPr>
                <w:rFonts w:ascii="Arial" w:cs="Arial" w:eastAsia="Arial" w:hAnsi="Arial"/>
                <w:sz w:val="20"/>
                <w:szCs w:val="20"/>
                <w:color w:val="231F20"/>
              </w:rPr>
              <w:t>(1,410)</w:t>
            </w:r>
          </w:p>
        </w:tc>
        <w:tc>
          <w:tcPr>
            <w:tcW w:w="160" w:type="dxa"/>
            <w:vAlign w:val="bottom"/>
          </w:tcPr>
          <w:p>
            <w:pPr>
              <w:spacing w:after="0"/>
              <w:rPr>
                <w:sz w:val="19"/>
                <w:szCs w:val="19"/>
                <w:color w:val="auto"/>
              </w:rPr>
            </w:pPr>
          </w:p>
        </w:tc>
        <w:tc>
          <w:tcPr>
            <w:tcW w:w="480" w:type="dxa"/>
            <w:vAlign w:val="bottom"/>
            <w:tcBorders>
              <w:bottom w:val="single" w:sz="8" w:color="231F20"/>
            </w:tcBorders>
          </w:tcPr>
          <w:p>
            <w:pPr>
              <w:jc w:val="right"/>
              <w:ind w:right="260"/>
              <w:spacing w:after="0" w:line="225" w:lineRule="exact"/>
              <w:rPr>
                <w:sz w:val="20"/>
                <w:szCs w:val="20"/>
                <w:color w:val="auto"/>
              </w:rPr>
            </w:pPr>
            <w:r>
              <w:rPr>
                <w:rFonts w:ascii="Arial" w:cs="Arial" w:eastAsia="Arial" w:hAnsi="Arial"/>
                <w:sz w:val="20"/>
                <w:szCs w:val="20"/>
                <w:color w:val="231F20"/>
                <w:w w:val="89"/>
              </w:rPr>
              <w:t>$</w:t>
            </w:r>
          </w:p>
        </w:tc>
        <w:tc>
          <w:tcPr>
            <w:tcW w:w="1000" w:type="dxa"/>
            <w:vAlign w:val="bottom"/>
            <w:tcBorders>
              <w:bottom w:val="single" w:sz="8" w:color="231F20"/>
            </w:tcBorders>
          </w:tcPr>
          <w:p>
            <w:pPr>
              <w:jc w:val="right"/>
              <w:spacing w:after="0" w:line="225" w:lineRule="exact"/>
              <w:rPr>
                <w:sz w:val="20"/>
                <w:szCs w:val="20"/>
                <w:color w:val="auto"/>
              </w:rPr>
            </w:pPr>
            <w:r>
              <w:rPr>
                <w:rFonts w:ascii="Arial" w:cs="Arial" w:eastAsia="Arial" w:hAnsi="Arial"/>
                <w:sz w:val="20"/>
                <w:szCs w:val="20"/>
                <w:color w:val="231F20"/>
              </w:rPr>
              <w:t>5,704</w:t>
            </w:r>
          </w:p>
        </w:tc>
      </w:tr>
      <w:tr>
        <w:trPr>
          <w:trHeight w:val="20"/>
        </w:trPr>
        <w:tc>
          <w:tcPr>
            <w:tcW w:w="65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780"/>
          </w:cols>
          <w:pgMar w:left="540" w:top="764" w:right="560" w:bottom="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10780"/>
          </w:cols>
          <w:pgMar w:left="540" w:top="764" w:right="56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i w:val="1"/>
          <w:iCs w:val="1"/>
          <w:color w:val="231F20"/>
        </w:rPr>
        <w:t>Cash Used in Operating Activities</w:t>
      </w:r>
    </w:p>
    <w:p>
      <w:pPr>
        <w:spacing w:after="0" w:line="112" w:lineRule="exact"/>
        <w:rPr>
          <w:sz w:val="20"/>
          <w:szCs w:val="20"/>
          <w:color w:val="auto"/>
        </w:rPr>
      </w:pPr>
    </w:p>
    <w:p>
      <w:pPr>
        <w:ind w:right="80" w:firstLine="490"/>
        <w:spacing w:after="0" w:line="246" w:lineRule="auto"/>
        <w:rPr>
          <w:sz w:val="20"/>
          <w:szCs w:val="20"/>
          <w:color w:val="auto"/>
        </w:rPr>
      </w:pPr>
      <w:r>
        <w:rPr>
          <w:rFonts w:ascii="Arial" w:cs="Arial" w:eastAsia="Arial" w:hAnsi="Arial"/>
          <w:sz w:val="20"/>
          <w:szCs w:val="20"/>
          <w:color w:val="231F20"/>
        </w:rPr>
        <w:t>Net cash used in operating activities was $29.8 million for the year ended December 31, 2025, which consisted of a net loss of $35.2 million, primarily due to the use of funds to develop our product candidates, and a net decrease of $0.2 million in our net operating assets and liabilities, partially offset by a net increase of $5.2 million in non-cash charges. The non-cash charges consisted of stock-based compensation expense of $6.2 million, partially offset by net accretion of discounts on investments of $1.0 million. The net decrease in our operating assets and liabilities was primarily due to a decrease of $1.5 million in prepaid expenses and other current assets and increases of $0.7 million in accrued compensation, $0.4 million in other current liabilities, and $0.2 million in other non-current liabilities, partially offset by increases of $2.4 million in accrued liabilities and $0.3 million in accounts payable.</w:t>
      </w:r>
    </w:p>
    <w:p>
      <w:pPr>
        <w:spacing w:after="0" w:line="194"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231F20"/>
        </w:rPr>
        <w:t>Net cash used in operating activities was $49.3 million for the year ended December 31, 2024, which consisted of a net loss of $</w:t>
      </w:r>
      <w:r>
        <w:rPr>
          <w:rFonts w:ascii="Arial" w:cs="Arial" w:eastAsia="Arial" w:hAnsi="Arial"/>
          <w:sz w:val="19"/>
          <w:szCs w:val="19"/>
          <w:color w:val="231F20"/>
        </w:rPr>
        <w:t>51.3</w:t>
      </w:r>
      <w:r>
        <w:rPr>
          <w:rFonts w:ascii="Arial" w:cs="Arial" w:eastAsia="Arial" w:hAnsi="Arial"/>
          <w:sz w:val="20"/>
          <w:szCs w:val="20"/>
          <w:color w:val="231F20"/>
        </w:rPr>
        <w:t xml:space="preserve"> million, primarily due to the use of funds to develop our product candidates, and a net decrease of $3.0 million in our net operating assets and liabilities offset by a net increase of $5.0 million in non-cash charges. The net decrease in our operating assets and liabilities was primarily due to a decrease of $4.5 million in accrued compensation and accrued liabilities due to a decrease in accrued research and development expenses, partially offset by an increase of $0.8 million in prepaid expenses and other current assets, an increase of $0.6 million in accounts payable and an increase of $0.1 million in other current liabilities. The non-cash charges consisted of stock-based compensation expense of $8.3 million, partially offset by net accretion of discounts on investments of $3.3 million.</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Cash Provided by Investing Activities</w:t>
      </w:r>
    </w:p>
    <w:p>
      <w:pPr>
        <w:spacing w:after="0" w:line="112" w:lineRule="exact"/>
        <w:rPr>
          <w:sz w:val="20"/>
          <w:szCs w:val="20"/>
          <w:color w:val="auto"/>
        </w:rPr>
      </w:pPr>
    </w:p>
    <w:p>
      <w:pPr>
        <w:ind w:right="240" w:firstLine="490"/>
        <w:spacing w:after="0" w:line="261" w:lineRule="auto"/>
        <w:rPr>
          <w:sz w:val="20"/>
          <w:szCs w:val="20"/>
          <w:color w:val="auto"/>
        </w:rPr>
      </w:pPr>
      <w:r>
        <w:rPr>
          <w:rFonts w:ascii="Arial" w:cs="Arial" w:eastAsia="Arial" w:hAnsi="Arial"/>
          <w:sz w:val="20"/>
          <w:szCs w:val="20"/>
          <w:color w:val="231F20"/>
        </w:rPr>
        <w:t>Net cash provided by investing activities was $28.3 million for the year ended December 31, 2025, which primarily consisted of $74.5 million in proceeds from maturities of investments, partially offset by $46.2 million in purchases of investments.</w:t>
      </w:r>
    </w:p>
    <w:p>
      <w:pPr>
        <w:spacing w:after="0" w:line="180" w:lineRule="exact"/>
        <w:rPr>
          <w:sz w:val="20"/>
          <w:szCs w:val="20"/>
          <w:color w:val="auto"/>
        </w:rPr>
      </w:pPr>
    </w:p>
    <w:p>
      <w:pPr>
        <w:ind w:right="240" w:firstLine="490"/>
        <w:spacing w:after="0" w:line="267" w:lineRule="auto"/>
        <w:rPr>
          <w:sz w:val="20"/>
          <w:szCs w:val="20"/>
          <w:color w:val="auto"/>
        </w:rPr>
      </w:pPr>
      <w:r>
        <w:rPr>
          <w:rFonts w:ascii="Arial" w:cs="Arial" w:eastAsia="Arial" w:hAnsi="Arial"/>
          <w:sz w:val="20"/>
          <w:szCs w:val="20"/>
          <w:color w:val="231F20"/>
        </w:rPr>
        <w:t xml:space="preserve">Net cash provided by investing activities was $54.6 million for the year ended December 31, 2024, </w:t>
      </w:r>
      <w:r>
        <w:rPr>
          <w:rFonts w:ascii="Arial" w:cs="Arial" w:eastAsia="Arial" w:hAnsi="Arial"/>
          <w:sz w:val="19"/>
          <w:szCs w:val="19"/>
          <w:color w:val="231F20"/>
        </w:rPr>
        <w:t>which primarily</w:t>
      </w:r>
      <w:r>
        <w:rPr>
          <w:rFonts w:ascii="Arial" w:cs="Arial" w:eastAsia="Arial" w:hAnsi="Arial"/>
          <w:sz w:val="20"/>
          <w:szCs w:val="20"/>
          <w:color w:val="231F20"/>
        </w:rPr>
        <w:t xml:space="preserve"> </w:t>
      </w:r>
      <w:r>
        <w:rPr>
          <w:rFonts w:ascii="Arial" w:cs="Arial" w:eastAsia="Arial" w:hAnsi="Arial"/>
          <w:sz w:val="19"/>
          <w:szCs w:val="19"/>
          <w:color w:val="231F20"/>
        </w:rPr>
        <w:t>consisted of $101.3 million in proceeds from maturities of investments, partially offset by $46.7 million in purchases of investments.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Cash Provided by Financing Activities</w:t>
      </w:r>
    </w:p>
    <w:p>
      <w:pPr>
        <w:spacing w:after="0" w:line="112" w:lineRule="exact"/>
        <w:rPr>
          <w:sz w:val="20"/>
          <w:szCs w:val="20"/>
          <w:color w:val="auto"/>
        </w:rPr>
      </w:pPr>
    </w:p>
    <w:p>
      <w:pPr>
        <w:ind w:right="240" w:firstLine="490"/>
        <w:spacing w:after="0" w:line="310" w:lineRule="auto"/>
        <w:rPr>
          <w:sz w:val="20"/>
          <w:szCs w:val="20"/>
          <w:color w:val="auto"/>
        </w:rPr>
      </w:pPr>
      <w:r>
        <w:rPr>
          <w:rFonts w:ascii="Arial" w:cs="Arial" w:eastAsia="Arial" w:hAnsi="Arial"/>
          <w:sz w:val="19"/>
          <w:szCs w:val="19"/>
          <w:color w:val="231F20"/>
        </w:rPr>
        <w:t>Net cash provided by financing activities was $0.1 million for the year ended December 31, 2025, which primarily consisted of net proceeds from the issuance of common stock under the ESPP and from the exercises of stock options.</w:t>
      </w:r>
    </w:p>
    <w:p>
      <w:pPr>
        <w:spacing w:after="0" w:line="136" w:lineRule="exact"/>
        <w:rPr>
          <w:sz w:val="20"/>
          <w:szCs w:val="20"/>
          <w:color w:val="auto"/>
        </w:rPr>
      </w:pPr>
    </w:p>
    <w:p>
      <w:pPr>
        <w:ind w:right="240" w:firstLine="490"/>
        <w:spacing w:after="0" w:line="310" w:lineRule="auto"/>
        <w:rPr>
          <w:sz w:val="20"/>
          <w:szCs w:val="20"/>
          <w:color w:val="auto"/>
        </w:rPr>
      </w:pPr>
      <w:r>
        <w:rPr>
          <w:rFonts w:ascii="Arial" w:cs="Arial" w:eastAsia="Arial" w:hAnsi="Arial"/>
          <w:sz w:val="19"/>
          <w:szCs w:val="19"/>
          <w:color w:val="231F20"/>
        </w:rPr>
        <w:t>Net cash provided by financing activities was $0.4 million for the year ended December 31, 2024, which primarily consisted of net proceeds from the issuance of common stock under the ESPP and from the exercises of 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Contractual Obligations and Commitments</w:t>
      </w:r>
    </w:p>
    <w:p>
      <w:pPr>
        <w:spacing w:after="0" w:line="124"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231F20"/>
        </w:rPr>
        <w:t>In November 2019, we entered into an exclusive worldwide license agreement with Anacor for certain compounds and other intellectual property controlled by Anacor for the treatment, diagnosis, or prevention of disease. In exchange for the worldwide, sublicensable, exclusive right and licenses to develop, manufacture, and commercialize the specified compounds, we paid Anacor a $2.0 million upfront payment in November 2019 and issued Anacor shares of our Series A redeemable convertible preferred stock. We agreed to make further payments to Anacor upon achievement of various development milestones for an aggregate maximum payment of $2.0 million,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We also agreed to pay Anacor sales royalties as a percentage of net sales ranging from single to mid-teens.</w:t>
      </w:r>
    </w:p>
    <w:p>
      <w:pPr>
        <w:spacing w:after="0" w:line="202" w:lineRule="exact"/>
        <w:rPr>
          <w:sz w:val="20"/>
          <w:szCs w:val="20"/>
          <w:color w:val="auto"/>
        </w:rPr>
      </w:pPr>
    </w:p>
    <w:p>
      <w:pPr>
        <w:ind w:firstLine="490"/>
        <w:spacing w:after="0" w:line="271" w:lineRule="auto"/>
        <w:rPr>
          <w:sz w:val="20"/>
          <w:szCs w:val="20"/>
          <w:color w:val="auto"/>
        </w:rPr>
      </w:pPr>
      <w:r>
        <w:rPr>
          <w:rFonts w:ascii="Arial" w:cs="Arial" w:eastAsia="Arial" w:hAnsi="Arial"/>
          <w:sz w:val="19"/>
          <w:szCs w:val="19"/>
          <w:color w:val="231F20"/>
        </w:rPr>
        <w:t>We enter into contracts in the normal course of business with third-party contract organizations for preclinical and nonclinical studies and clinical trials, manufacture and supply of our preclinical, nonclinical, clinical trial, and other services and products used for operating purposes. These contracts generally provide for termination following a certain period after notice, and therefore we believe that our non-cancelable obligations under these agreements are not material.</w:t>
      </w:r>
    </w:p>
    <w:p>
      <w:pPr>
        <w:sectPr>
          <w:pgSz w:w="11880" w:h="15480" w:orient="portrait"/>
          <w:cols w:equalWidth="0" w:num="1">
            <w:col w:w="10780"/>
          </w:cols>
          <w:pgMar w:left="540" w:top="75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10780"/>
          </w:cols>
          <w:pgMar w:left="540" w:top="758" w:right="560" w:bottom="0" w:gutter="0" w:footer="0" w:header="0"/>
          <w:type w:val="continuous"/>
        </w:sectPr>
      </w:pPr>
    </w:p>
    <w:bookmarkStart w:id="80" w:name="page81"/>
    <w:bookmarkEnd w:id="80"/>
    <w:p>
      <w:pPr>
        <w:spacing w:after="0"/>
        <w:rPr>
          <w:sz w:val="20"/>
          <w:szCs w:val="20"/>
          <w:color w:val="auto"/>
        </w:rPr>
      </w:pPr>
      <w:r>
        <w:rPr>
          <w:rFonts w:ascii="Arial" w:cs="Arial" w:eastAsia="Arial" w:hAnsi="Arial"/>
          <w:sz w:val="20"/>
          <w:szCs w:val="20"/>
          <w:b w:val="1"/>
          <w:bCs w:val="1"/>
          <w:color w:val="231F20"/>
        </w:rPr>
        <w:t>Critical Accounting Policies, Significant Judgments, and Use of Estimates</w:t>
      </w:r>
    </w:p>
    <w:p>
      <w:pPr>
        <w:spacing w:after="0" w:line="124" w:lineRule="exact"/>
        <w:rPr>
          <w:sz w:val="20"/>
          <w:szCs w:val="20"/>
          <w:color w:val="auto"/>
        </w:rPr>
      </w:pPr>
    </w:p>
    <w:p>
      <w:pPr>
        <w:ind w:right="120" w:firstLine="490"/>
        <w:spacing w:after="0" w:line="243" w:lineRule="auto"/>
        <w:rPr>
          <w:sz w:val="20"/>
          <w:szCs w:val="20"/>
          <w:color w:val="auto"/>
        </w:rPr>
      </w:pPr>
      <w:r>
        <w:rPr>
          <w:rFonts w:ascii="Arial" w:cs="Arial" w:eastAsia="Arial" w:hAnsi="Arial"/>
          <w:sz w:val="20"/>
          <w:szCs w:val="20"/>
          <w:color w:val="231F20"/>
        </w:rPr>
        <w:t>Our financial statements have been prepared in accordance with U.S. generally accepted accounting principles (“U.S.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While our significant accounting policies are described in more detail in Part I, Note 2—Basis of Presentation and Summary of Significant Accounting Policies to our financial statements appearing elsewhere in this Form 10-K, we believe that the following accounting policies are those most critical to the judgments and estimates used in the preparation of our financial statements.</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Research and Development</w:t>
      </w:r>
    </w:p>
    <w:p>
      <w:pPr>
        <w:spacing w:after="0" w:line="116"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We have entered into various agreements with CMOs and CROs. We record research and development expenses to operations as incurred. Research and development expenses represent costs incurred by us for the discovery and development of our product candidates and the development of our technology and include: internal research and development expense, including employee-related expenses (such as salaries, bonus, benefits and non-cash stock-based compensation expense); external research and development expenses incurred under arrangements with third parties, such as CROs, preclinical testing organizations, CMOs, academic and non-profit institutions and consultants; license fees; and other expenses. Costs to develop our technologies are recorded as research and development expense as incurred.</w:t>
      </w:r>
    </w:p>
    <w:p>
      <w:pPr>
        <w:spacing w:after="0" w:line="193"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231F20"/>
        </w:rPr>
        <w:t>As part of the process of preparing financial statements, we are required to estimate and accrue expenses. We record the estimated expenses of research and development activities conducted by third-party service providers based upon the estimated level of services performed, progress of the studies, including the receipt of deliverables or completion of agreed-upon events, and contracted costs, within research and development expense in the statements of operations and comprehensive loss. These services include the conduct of clinical, nonclinical and preclinical studies, contract manufacturing activities and consulting services.</w:t>
      </w:r>
    </w:p>
    <w:p>
      <w:pPr>
        <w:spacing w:after="0" w:line="194"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231F20"/>
        </w:rPr>
        <w:t>Payments made to CMOs and CROs under these arrangements in advance of the performance of the related services are deferred and recognized as expense in the period in which the related goods are received or services are realized or utilized. If the costs have been prepaid, this expense reduces the prepaid expenses in the balance sheets, and if not yet invoiced, the costs are included in accrued liabilities in the balance sheets. These costs are a significant component of our research and development expenses. We record amortization of prepaid expenses or accrued expenses for these costs based on the estimated amount of work completed and in accordance with agreements established with these third parties. Such payments are evaluated for current or long-term classification based on when they will be realized. If the actual timing of the performance of services or the level of effort varies from the original estimates, we will adjust the accrual accordingly. To date, our estimated accruals have not differed materially from the actual costs.</w:t>
      </w:r>
    </w:p>
    <w:p>
      <w:pPr>
        <w:spacing w:after="0" w:line="202"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231F20"/>
        </w:rPr>
        <w:t>Costs for certain research and development activities are recognized based on an evaluation of the progress to completion of specific tasks. We estimate the amount of work completed through discussions with internal personnel and external service providers as to the progress or stage of completion of the services and the agreed-upon fee to be paid for such services. We make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may vary from our estimates and could result in us reporting amounts that are too high or too low in any particular period. Our accrued expenses are dependent, in part, upon the receipt of timely and accurate reporting from external CROs, CMOs and other third-party service providers. To date, we have not experienced material differences between our accrued expenses and actual expenses.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10800"/>
          </w:cols>
          <w:pgMar w:left="540" w:top="746" w:right="540" w:bottom="0" w:gutter="0" w:footer="0" w:header="0"/>
          <w:type w:val="continuous"/>
        </w:sectPr>
      </w:pPr>
    </w:p>
    <w:bookmarkStart w:id="81" w:name="page82"/>
    <w:bookmarkEnd w:id="81"/>
    <w:p>
      <w:pPr>
        <w:spacing w:after="0"/>
        <w:rPr>
          <w:sz w:val="20"/>
          <w:szCs w:val="20"/>
          <w:color w:val="auto"/>
        </w:rPr>
      </w:pPr>
      <w:r>
        <w:rPr>
          <w:rFonts w:ascii="Arial" w:cs="Arial" w:eastAsia="Arial" w:hAnsi="Arial"/>
          <w:sz w:val="20"/>
          <w:szCs w:val="20"/>
          <w:b w:val="1"/>
          <w:bCs w:val="1"/>
          <w:i w:val="1"/>
          <w:iCs w:val="1"/>
          <w:color w:val="231F20"/>
        </w:rPr>
        <w:t>Indemnification Agreements</w:t>
      </w:r>
    </w:p>
    <w:p>
      <w:pPr>
        <w:spacing w:after="0" w:line="116"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231F20"/>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94" w:lineRule="exact"/>
        <w:rPr>
          <w:sz w:val="20"/>
          <w:szCs w:val="20"/>
          <w:color w:val="auto"/>
        </w:rPr>
      </w:pPr>
    </w:p>
    <w:p>
      <w:pPr>
        <w:ind w:right="20" w:firstLine="490"/>
        <w:spacing w:after="0" w:line="267" w:lineRule="auto"/>
        <w:rPr>
          <w:sz w:val="20"/>
          <w:szCs w:val="20"/>
          <w:color w:val="auto"/>
        </w:rPr>
      </w:pPr>
      <w:r>
        <w:rPr>
          <w:rFonts w:ascii="Arial" w:cs="Arial" w:eastAsia="Arial" w:hAnsi="Arial"/>
          <w:sz w:val="19"/>
          <w:szCs w:val="19"/>
          <w:color w:val="231F20"/>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Recent Accounting Pronouncements</w:t>
      </w:r>
    </w:p>
    <w:p>
      <w:pPr>
        <w:spacing w:after="0" w:line="124" w:lineRule="exact"/>
        <w:rPr>
          <w:sz w:val="20"/>
          <w:szCs w:val="20"/>
          <w:color w:val="auto"/>
        </w:rPr>
      </w:pPr>
    </w:p>
    <w:p>
      <w:pPr>
        <w:ind w:right="200" w:firstLine="490"/>
        <w:spacing w:after="0" w:line="282" w:lineRule="auto"/>
        <w:rPr>
          <w:sz w:val="20"/>
          <w:szCs w:val="20"/>
          <w:color w:val="auto"/>
        </w:rPr>
      </w:pPr>
      <w:r>
        <w:rPr>
          <w:rFonts w:ascii="Arial" w:cs="Arial" w:eastAsia="Arial" w:hAnsi="Arial"/>
          <w:sz w:val="20"/>
          <w:szCs w:val="20"/>
          <w:color w:val="231F20"/>
        </w:rPr>
        <w:t>See the section “Recently Adopted Accounting Pronouncements” in Note 2 to the Notes to Financial Statements in Part IV, Item 15 of this Annual Report on Form 10-K.</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JOBS Act Accounting Election</w:t>
      </w:r>
    </w:p>
    <w:p>
      <w:pPr>
        <w:spacing w:after="0" w:line="124"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The JOBS Act permits an “emerging growth company” or “EGC” such as us to delay adopting new or revised accounting standards issued subsequent to the enactment of the JOBS Act until such time as those standards apply to private companies. We have elected to use this extended period for complying with new or revised accounting standards that have different effective dates for public and private companies until the earlier of the date that we (i) are no longer an EGC or (ii) 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spacing w:after="0" w:line="193" w:lineRule="exact"/>
        <w:rPr>
          <w:sz w:val="20"/>
          <w:szCs w:val="20"/>
          <w:color w:val="auto"/>
        </w:rPr>
      </w:pPr>
    </w:p>
    <w:p>
      <w:pPr>
        <w:ind w:right="240" w:firstLine="490"/>
        <w:spacing w:after="0" w:line="282" w:lineRule="auto"/>
        <w:rPr>
          <w:sz w:val="20"/>
          <w:szCs w:val="20"/>
          <w:color w:val="auto"/>
        </w:rPr>
      </w:pPr>
      <w:r>
        <w:rPr>
          <w:rFonts w:ascii="Arial" w:cs="Arial" w:eastAsia="Arial" w:hAnsi="Arial"/>
          <w:sz w:val="20"/>
          <w:szCs w:val="20"/>
          <w:color w:val="231F20"/>
        </w:rPr>
        <w:t>In addition, we intend to rely on other exemptions provided by the JOBS Act, including without limitation, not being required to comply with the auditor attestation requirements of Section 404(b) of the Sarbanes-Oxley Act.</w:t>
      </w:r>
    </w:p>
    <w:p>
      <w:pPr>
        <w:spacing w:after="0" w:line="160" w:lineRule="exact"/>
        <w:rPr>
          <w:sz w:val="20"/>
          <w:szCs w:val="20"/>
          <w:color w:val="auto"/>
        </w:rPr>
      </w:pPr>
    </w:p>
    <w:p>
      <w:pPr>
        <w:ind w:right="360" w:firstLine="490"/>
        <w:spacing w:after="0" w:line="250" w:lineRule="auto"/>
        <w:rPr>
          <w:sz w:val="20"/>
          <w:szCs w:val="20"/>
          <w:color w:val="auto"/>
        </w:rPr>
      </w:pPr>
      <w:r>
        <w:rPr>
          <w:rFonts w:ascii="Arial" w:cs="Arial" w:eastAsia="Arial" w:hAnsi="Arial"/>
          <w:sz w:val="20"/>
          <w:szCs w:val="20"/>
          <w:color w:val="231F20"/>
        </w:rPr>
        <w:t>We will remain an EGC until the earliest to occur of: (1) the last day of our first fiscal year in which we have total annual revenues of more than $1.235 billion;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7A. Quantitative and Qualitative Disclosures About Market Risk.</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Interest Rate Sensitivity</w:t>
      </w:r>
    </w:p>
    <w:p>
      <w:pPr>
        <w:spacing w:after="0" w:line="116" w:lineRule="exact"/>
        <w:rPr>
          <w:sz w:val="20"/>
          <w:szCs w:val="20"/>
          <w:color w:val="auto"/>
        </w:rPr>
      </w:pPr>
    </w:p>
    <w:p>
      <w:pPr>
        <w:ind w:right="80" w:firstLine="490"/>
        <w:spacing w:after="0" w:line="261" w:lineRule="auto"/>
        <w:rPr>
          <w:sz w:val="20"/>
          <w:szCs w:val="20"/>
          <w:color w:val="auto"/>
        </w:rPr>
      </w:pPr>
      <w:r>
        <w:rPr>
          <w:rFonts w:ascii="Arial" w:cs="Arial" w:eastAsia="Arial" w:hAnsi="Arial"/>
          <w:sz w:val="20"/>
          <w:szCs w:val="20"/>
          <w:color w:val="231F20"/>
        </w:rPr>
        <w:t>We are exposed to market risk related to changes in interest rates. We had cash, cash equivalents and investments of $60.0 million as of December 31, 2025, which consisted primarily of money market funds and marketable securities, largely composed of investment grade, short and long-term fixed income securities and government securities.</w:t>
      </w:r>
    </w:p>
    <w:p>
      <w:pPr>
        <w:spacing w:after="0" w:line="180" w:lineRule="exact"/>
        <w:rPr>
          <w:sz w:val="20"/>
          <w:szCs w:val="20"/>
          <w:color w:val="auto"/>
        </w:rPr>
      </w:pPr>
    </w:p>
    <w:p>
      <w:pPr>
        <w:ind w:right="560" w:firstLine="490"/>
        <w:spacing w:after="0" w:line="261" w:lineRule="auto"/>
        <w:rPr>
          <w:sz w:val="20"/>
          <w:szCs w:val="20"/>
          <w:color w:val="auto"/>
        </w:rPr>
      </w:pPr>
      <w:r>
        <w:rPr>
          <w:rFonts w:ascii="Arial" w:cs="Arial" w:eastAsia="Arial" w:hAnsi="Arial"/>
          <w:sz w:val="20"/>
          <w:szCs w:val="20"/>
          <w:color w:val="231F20"/>
        </w:rPr>
        <w:t>The primary objective of our investment activities is to preserve capital to fund our operations. We also seek to maximize income from our investments without assuming significant risk. To achieve our objectives, we maintain a portfolio of cash, cash equivalents, and investments in accordance with our Board-approved investment policy.</w:t>
      </w:r>
    </w:p>
    <w:p>
      <w:pPr>
        <w:spacing w:after="0" w:line="180" w:lineRule="exact"/>
        <w:rPr>
          <w:sz w:val="20"/>
          <w:szCs w:val="20"/>
          <w:color w:val="auto"/>
        </w:rPr>
      </w:pPr>
    </w:p>
    <w:p>
      <w:pPr>
        <w:ind w:right="320" w:firstLine="490"/>
        <w:spacing w:after="0" w:line="254" w:lineRule="auto"/>
        <w:rPr>
          <w:sz w:val="20"/>
          <w:szCs w:val="20"/>
          <w:color w:val="auto"/>
        </w:rPr>
      </w:pPr>
      <w:r>
        <w:rPr>
          <w:rFonts w:ascii="Arial" w:cs="Arial" w:eastAsia="Arial" w:hAnsi="Arial"/>
          <w:sz w:val="20"/>
          <w:szCs w:val="20"/>
          <w:color w:val="231F20"/>
        </w:rPr>
        <w:t>Our investments are subject to interest rate risk and could fall in value if market interest rates increase. A hypothetical 10% relative change in interest rates during any of the periods presented would not have had a material impact on our financial statements. We do not believe that inflation, interest rate changes or exchange rate fluctuations had a significant impact on our results of operations for any periods presented herein.</w:t>
      </w:r>
    </w:p>
    <w:p>
      <w:pPr>
        <w:sectPr>
          <w:pgSz w:w="11880" w:h="15480" w:orient="portrait"/>
          <w:cols w:equalWidth="0" w:num="1">
            <w:col w:w="10800"/>
          </w:cols>
          <w:pgMar w:left="540" w:top="75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10800"/>
          </w:cols>
          <w:pgMar w:left="540" w:top="754" w:right="540" w:bottom="0" w:gutter="0" w:footer="0" w:header="0"/>
          <w:type w:val="continuous"/>
        </w:sectPr>
      </w:pPr>
    </w:p>
    <w:bookmarkStart w:id="82" w:name="page83"/>
    <w:bookmarkEnd w:id="82"/>
    <w:p>
      <w:pPr>
        <w:spacing w:after="0"/>
        <w:rPr>
          <w:sz w:val="20"/>
          <w:szCs w:val="20"/>
          <w:color w:val="auto"/>
        </w:rPr>
      </w:pPr>
      <w:r>
        <w:rPr>
          <w:rFonts w:ascii="Arial" w:cs="Arial" w:eastAsia="Arial" w:hAnsi="Arial"/>
          <w:sz w:val="20"/>
          <w:szCs w:val="20"/>
          <w:b w:val="1"/>
          <w:bCs w:val="1"/>
          <w:i w:val="1"/>
          <w:iCs w:val="1"/>
          <w:color w:val="231F20"/>
        </w:rPr>
        <w:t>Foreign Currency Risk</w:t>
      </w:r>
    </w:p>
    <w:p>
      <w:pPr>
        <w:spacing w:after="0" w:line="116" w:lineRule="exact"/>
        <w:rPr>
          <w:sz w:val="20"/>
          <w:szCs w:val="20"/>
          <w:color w:val="auto"/>
        </w:rPr>
      </w:pPr>
    </w:p>
    <w:p>
      <w:pPr>
        <w:ind w:right="240" w:firstLine="490"/>
        <w:spacing w:after="0" w:line="261" w:lineRule="auto"/>
        <w:rPr>
          <w:sz w:val="20"/>
          <w:szCs w:val="20"/>
          <w:color w:val="auto"/>
        </w:rPr>
      </w:pPr>
      <w:r>
        <w:rPr>
          <w:rFonts w:ascii="Arial" w:cs="Arial" w:eastAsia="Arial" w:hAnsi="Arial"/>
          <w:sz w:val="20"/>
          <w:szCs w:val="20"/>
          <w:color w:val="231F20"/>
        </w:rPr>
        <w:t>A small portion of our expenses are denominated in foreign currencies. Future fluctuations in the value of the U.S. Dollar may affect the price we pay for services performed outside the U.S. We were not exposed to material foreign currency risk during the year ended December 31, 2025.</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Effects of Inflation</w:t>
      </w:r>
    </w:p>
    <w:p>
      <w:pPr>
        <w:spacing w:after="0" w:line="116"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231F20"/>
        </w:rPr>
        <w:t>Inflation generally affects us by increasing our cost of labor and operating costs including clinical trial, non-clinical study and manufacturing costs. We believe that inflation has not had a material effect on our financial statements included elsewhere in this Annual Report on Form 10-K.</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8. Financial Statements and Supplementary Data.</w:t>
      </w:r>
    </w:p>
    <w:p>
      <w:pPr>
        <w:spacing w:after="0" w:line="124" w:lineRule="exact"/>
        <w:rPr>
          <w:sz w:val="20"/>
          <w:szCs w:val="20"/>
          <w:color w:val="auto"/>
        </w:rPr>
      </w:pPr>
    </w:p>
    <w:p>
      <w:pPr>
        <w:ind w:right="160" w:firstLine="490"/>
        <w:spacing w:after="0" w:line="282" w:lineRule="auto"/>
        <w:rPr>
          <w:sz w:val="20"/>
          <w:szCs w:val="20"/>
          <w:color w:val="auto"/>
        </w:rPr>
      </w:pPr>
      <w:r>
        <w:rPr>
          <w:rFonts w:ascii="Arial" w:cs="Arial" w:eastAsia="Arial" w:hAnsi="Arial"/>
          <w:sz w:val="20"/>
          <w:szCs w:val="20"/>
          <w:color w:val="231F20"/>
        </w:rPr>
        <w:t>The financial statements and related financial statement schedules required to be filed are listed in Part IV, Item 15 of this Annual Report on Form 10-K.</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 Changes in and Disagreements with Accountants on Accounting and Financial Disclosure.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231F20"/>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9A.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Evaluation of Disclosure Controls and Procedures</w:t>
      </w:r>
    </w:p>
    <w:p>
      <w:pPr>
        <w:spacing w:after="0" w:line="124" w:lineRule="exact"/>
        <w:rPr>
          <w:sz w:val="20"/>
          <w:szCs w:val="20"/>
          <w:color w:val="auto"/>
        </w:rPr>
      </w:pPr>
    </w:p>
    <w:p>
      <w:pPr>
        <w:jc w:val="both"/>
        <w:ind w:right="100" w:firstLine="490"/>
        <w:spacing w:after="0" w:line="254" w:lineRule="auto"/>
        <w:rPr>
          <w:sz w:val="20"/>
          <w:szCs w:val="20"/>
          <w:color w:val="auto"/>
        </w:rPr>
      </w:pPr>
      <w:r>
        <w:rPr>
          <w:rFonts w:ascii="Arial" w:cs="Arial" w:eastAsia="Arial" w:hAnsi="Arial"/>
          <w:sz w:val="20"/>
          <w:szCs w:val="20"/>
          <w:color w:val="231F20"/>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Form 10-K.</w:t>
      </w:r>
    </w:p>
    <w:p>
      <w:pPr>
        <w:spacing w:after="0" w:line="186" w:lineRule="exact"/>
        <w:rPr>
          <w:sz w:val="20"/>
          <w:szCs w:val="20"/>
          <w:color w:val="auto"/>
        </w:rPr>
      </w:pPr>
    </w:p>
    <w:p>
      <w:pPr>
        <w:ind w:right="20" w:firstLine="490"/>
        <w:spacing w:after="0" w:line="259" w:lineRule="auto"/>
        <w:rPr>
          <w:sz w:val="20"/>
          <w:szCs w:val="20"/>
          <w:color w:val="auto"/>
        </w:rPr>
      </w:pPr>
      <w:r>
        <w:rPr>
          <w:rFonts w:ascii="Arial" w:cs="Arial" w:eastAsia="Arial" w:hAnsi="Arial"/>
          <w:sz w:val="19"/>
          <w:szCs w:val="19"/>
          <w:color w:val="231F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CEO and CFO,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2"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231F20"/>
        </w:rPr>
        <w:t>Our CEO and CFO have concluded that as of December 31, 2025, our disclosure controls and procedures were not effective due to material weaknesses in internal control over financial reporting, as described below.</w:t>
      </w:r>
    </w:p>
    <w:p>
      <w:pPr>
        <w:spacing w:after="0" w:line="160" w:lineRule="exact"/>
        <w:rPr>
          <w:sz w:val="20"/>
          <w:szCs w:val="20"/>
          <w:color w:val="auto"/>
        </w:rPr>
      </w:pPr>
    </w:p>
    <w:p>
      <w:pPr>
        <w:jc w:val="both"/>
        <w:ind w:right="200" w:firstLine="490"/>
        <w:spacing w:after="0" w:line="261" w:lineRule="auto"/>
        <w:rPr>
          <w:sz w:val="20"/>
          <w:szCs w:val="20"/>
          <w:color w:val="auto"/>
        </w:rPr>
      </w:pPr>
      <w:r>
        <w:rPr>
          <w:rFonts w:ascii="Arial" w:cs="Arial" w:eastAsia="Arial" w:hAnsi="Arial"/>
          <w:sz w:val="20"/>
          <w:szCs w:val="20"/>
          <w:color w:val="231F20"/>
        </w:rPr>
        <w:t>Notwithstanding the identified material weaknesses, management, including our CEO and CFO, have determined, based on the procedures we have performed, that the financial statements included in this Annual Report on Form 10-K were prepared in accordance with U.S. GAAP.</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Management’s Annual Report on Internal Control over Financial Reporting</w:t>
      </w:r>
    </w:p>
    <w:p>
      <w:pPr>
        <w:spacing w:after="0" w:line="124" w:lineRule="exact"/>
        <w:rPr>
          <w:sz w:val="20"/>
          <w:szCs w:val="20"/>
          <w:color w:val="auto"/>
        </w:rPr>
      </w:pPr>
    </w:p>
    <w:p>
      <w:pPr>
        <w:ind w:right="80" w:firstLine="490"/>
        <w:spacing w:after="0" w:line="254" w:lineRule="auto"/>
        <w:rPr>
          <w:sz w:val="20"/>
          <w:szCs w:val="20"/>
          <w:color w:val="auto"/>
        </w:rPr>
      </w:pPr>
      <w:r>
        <w:rPr>
          <w:rFonts w:ascii="Arial" w:cs="Arial" w:eastAsia="Arial" w:hAnsi="Arial"/>
          <w:sz w:val="20"/>
          <w:szCs w:val="20"/>
          <w:color w:val="231F20"/>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GAAP.</w:t>
      </w:r>
    </w:p>
    <w:p>
      <w:pPr>
        <w:spacing w:after="0" w:line="186" w:lineRule="exact"/>
        <w:rPr>
          <w:sz w:val="20"/>
          <w:szCs w:val="20"/>
          <w:color w:val="auto"/>
        </w:rPr>
      </w:pPr>
    </w:p>
    <w:p>
      <w:pPr>
        <w:ind w:right="160" w:firstLine="490"/>
        <w:spacing w:after="0" w:line="250" w:lineRule="auto"/>
        <w:rPr>
          <w:sz w:val="20"/>
          <w:szCs w:val="20"/>
          <w:color w:val="auto"/>
        </w:rPr>
      </w:pPr>
      <w:r>
        <w:rPr>
          <w:rFonts w:ascii="Arial" w:cs="Arial" w:eastAsia="Arial" w:hAnsi="Arial"/>
          <w:sz w:val="20"/>
          <w:szCs w:val="20"/>
          <w:color w:val="231F20"/>
        </w:rPr>
        <w:t xml:space="preserve">Management has evaluated the effectiveness of our internal control over financial reporting as of December 31, 2025 using the criteria set forth in </w:t>
      </w:r>
      <w:r>
        <w:rPr>
          <w:rFonts w:ascii="Arial" w:cs="Arial" w:eastAsia="Arial" w:hAnsi="Arial"/>
          <w:sz w:val="20"/>
          <w:szCs w:val="20"/>
          <w:i w:val="1"/>
          <w:iCs w:val="1"/>
          <w:color w:val="231F20"/>
        </w:rPr>
        <w:t>Internal Control — Integrated Framework (2013)</w:t>
      </w:r>
      <w:r>
        <w:rPr>
          <w:rFonts w:ascii="Arial" w:cs="Arial" w:eastAsia="Arial" w:hAnsi="Arial"/>
          <w:sz w:val="20"/>
          <w:szCs w:val="20"/>
          <w:color w:val="231F20"/>
        </w:rPr>
        <w:t xml:space="preserve"> issued by the Committee of Sponsoring Organizations of the Treadway Commission. Based on its evaluation, management has concluded that as of December 31, 2025, our internal control over financial reporting was not effective due to material weaknesses in internal control over financial reporting, as described below.</w:t>
      </w:r>
    </w:p>
    <w:p>
      <w:pPr>
        <w:sectPr>
          <w:pgSz w:w="11880" w:h="15480" w:orient="portrait"/>
          <w:cols w:equalWidth="0" w:num="1">
            <w:col w:w="10780"/>
          </w:cols>
          <w:pgMar w:left="540" w:top="754" w:right="560" w:bottom="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10780"/>
          </w:cols>
          <w:pgMar w:left="540" w:top="754" w:right="560" w:bottom="0" w:gutter="0" w:footer="0" w:header="0"/>
          <w:type w:val="continuous"/>
        </w:sectPr>
      </w:pPr>
    </w:p>
    <w:bookmarkStart w:id="83" w:name="page84"/>
    <w:bookmarkEnd w:id="83"/>
    <w:p>
      <w:pPr>
        <w:ind w:right="120" w:firstLine="490"/>
        <w:spacing w:after="0" w:line="254" w:lineRule="auto"/>
        <w:rPr>
          <w:sz w:val="20"/>
          <w:szCs w:val="20"/>
          <w:color w:val="auto"/>
        </w:rPr>
      </w:pPr>
      <w:r>
        <w:rPr>
          <w:rFonts w:ascii="Arial" w:cs="Arial" w:eastAsia="Arial" w:hAnsi="Arial"/>
          <w:sz w:val="20"/>
          <w:szCs w:val="20"/>
          <w:color w:val="231F20"/>
        </w:rPr>
        <w:t>During the course of preparing for our March 2022 IPO, we identified material weaknesses in our internal control over financial reporting. A material weakness is a deficiency, or a combination of deficiencies, in internal control over financial reporting such that there is a reasonable possibility that a material misstatement of its annual or interim financial statements will not be prevented or detected on a timely basis.</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The material weaknesses identified were as follows, and continue to exist as of December 31, 2025:</w:t>
      </w:r>
    </w:p>
    <w:p>
      <w:pPr>
        <w:spacing w:after="0" w:line="134" w:lineRule="exact"/>
        <w:rPr>
          <w:sz w:val="20"/>
          <w:szCs w:val="20"/>
          <w:color w:val="auto"/>
        </w:rPr>
      </w:pPr>
    </w:p>
    <w:p>
      <w:pPr>
        <w:ind w:left="980" w:right="40" w:hanging="490"/>
        <w:spacing w:after="0" w:line="246" w:lineRule="auto"/>
        <w:tabs>
          <w:tab w:leader="none" w:pos="980"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spacing w:after="0" w:line="87" w:lineRule="exact"/>
        <w:rPr>
          <w:rFonts w:ascii="Arial" w:cs="Arial" w:eastAsia="Arial" w:hAnsi="Arial"/>
          <w:sz w:val="20"/>
          <w:szCs w:val="20"/>
          <w:color w:val="231F20"/>
        </w:rPr>
      </w:pPr>
    </w:p>
    <w:p>
      <w:pPr>
        <w:ind w:left="980" w:right="140" w:hanging="490"/>
        <w:spacing w:after="0" w:line="250" w:lineRule="auto"/>
        <w:tabs>
          <w:tab w:leader="none" w:pos="980"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spacing w:after="0" w:line="192"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231F20"/>
        </w:rPr>
        <w:t>The above material weaknesses resulted in adjustments to accrued expenses balances, which were recorded prior to the issuance of the financial statements, as of and for the years ended December 31, 2019 and 2020. Additionally, these material weaknesses could result in a misstatement of substantially all of our accounts or disclosures that would result in a material misstatement to the annual or interim financial statements that would not be prevented or detected.</w:t>
      </w:r>
    </w:p>
    <w:p>
      <w:pPr>
        <w:spacing w:after="0" w:line="80" w:lineRule="exact"/>
        <w:rPr>
          <w:sz w:val="20"/>
          <w:szCs w:val="20"/>
          <w:color w:val="auto"/>
        </w:rPr>
      </w:pPr>
    </w:p>
    <w:p>
      <w:pPr>
        <w:ind w:left="980" w:hanging="490"/>
        <w:spacing w:after="0" w:line="245" w:lineRule="auto"/>
        <w:tabs>
          <w:tab w:leader="none" w:pos="980" w:val="left"/>
        </w:tabs>
        <w:numPr>
          <w:ilvl w:val="0"/>
          <w:numId w:val="49"/>
        </w:numPr>
        <w:rPr>
          <w:rFonts w:ascii="Arial" w:cs="Arial" w:eastAsia="Arial" w:hAnsi="Arial"/>
          <w:sz w:val="20"/>
          <w:szCs w:val="20"/>
          <w:color w:val="231F20"/>
        </w:rPr>
      </w:pPr>
      <w:r>
        <w:rPr>
          <w:rFonts w:ascii="Arial" w:cs="Arial" w:eastAsia="Arial" w:hAnsi="Arial"/>
          <w:sz w:val="20"/>
          <w:szCs w:val="20"/>
          <w:color w:val="231F20"/>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97"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231F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Attestation Report of Independent Registered Public Accounting Firm</w:t>
      </w:r>
    </w:p>
    <w:p>
      <w:pPr>
        <w:spacing w:after="0" w:line="112" w:lineRule="exact"/>
        <w:rPr>
          <w:sz w:val="20"/>
          <w:szCs w:val="20"/>
          <w:color w:val="auto"/>
        </w:rPr>
      </w:pPr>
    </w:p>
    <w:p>
      <w:pPr>
        <w:ind w:right="480" w:firstLine="490"/>
        <w:spacing w:after="0" w:line="261" w:lineRule="auto"/>
        <w:rPr>
          <w:sz w:val="20"/>
          <w:szCs w:val="20"/>
          <w:color w:val="auto"/>
        </w:rPr>
      </w:pPr>
      <w:r>
        <w:rPr>
          <w:rFonts w:ascii="Arial" w:cs="Arial" w:eastAsia="Arial" w:hAnsi="Arial"/>
          <w:sz w:val="20"/>
          <w:szCs w:val="20"/>
          <w:color w:val="231F20"/>
        </w:rPr>
        <w:t>This Annual Report on Form 10-K does not include an attestation report from our independent registered public accounting firm on our internal control over financial reporting due to an exemption established by the JOBS Act for EGCs.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Remediation of Prior Material Weakness</w:t>
      </w:r>
    </w:p>
    <w:p>
      <w:pPr>
        <w:spacing w:after="0" w:line="124" w:lineRule="exact"/>
        <w:rPr>
          <w:sz w:val="20"/>
          <w:szCs w:val="20"/>
          <w:color w:val="auto"/>
        </w:rPr>
      </w:pPr>
    </w:p>
    <w:p>
      <w:pPr>
        <w:ind w:right="100" w:firstLine="490"/>
        <w:spacing w:after="0" w:line="246" w:lineRule="auto"/>
        <w:rPr>
          <w:sz w:val="20"/>
          <w:szCs w:val="20"/>
          <w:color w:val="auto"/>
        </w:rPr>
      </w:pPr>
      <w:r>
        <w:rPr>
          <w:rFonts w:ascii="Arial" w:cs="Arial" w:eastAsia="Arial" w:hAnsi="Arial"/>
          <w:sz w:val="20"/>
          <w:szCs w:val="20"/>
          <w:color w:val="231F20"/>
        </w:rPr>
        <w:t>Management previously identified a material weakness in the design and operating effectiveness of controls related to the accounting for certain non-routine or complex transactions, including the proper application of U.S. GAAP to such transactions. As of September 30, 2023, we finalized the design and were validating the effectiveness of controls to account for and disclose complex transactions. As of December 31, 2023, we validated the effectiveness of controls to account for and disclose complex transactions. The applicable controls have been in operation for a sufficient period of time, and management has concluded, through testing, that these controls are operating effectively. Accordingly, the material weakness associated with the accounting for certain non-routine or complex transactions, including the proper application of U.S. GAAP, was remediated as of December 31, 2023.</w:t>
      </w:r>
    </w:p>
    <w:p>
      <w:pPr>
        <w:sectPr>
          <w:pgSz w:w="11880" w:h="15480" w:orient="portrait"/>
          <w:cols w:equalWidth="0" w:num="1">
            <w:col w:w="10780"/>
          </w:cols>
          <w:pgMar w:left="540" w:top="750" w:right="560" w:bottom="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10780"/>
          </w:cols>
          <w:pgMar w:left="540" w:top="750" w:right="56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i w:val="1"/>
          <w:iCs w:val="1"/>
          <w:color w:val="231F20"/>
        </w:rPr>
        <w:t>Remediation Plan for Remaining Material Weaknesses</w:t>
      </w:r>
    </w:p>
    <w:p>
      <w:pPr>
        <w:spacing w:after="0" w:line="112" w:lineRule="exact"/>
        <w:rPr>
          <w:sz w:val="20"/>
          <w:szCs w:val="20"/>
          <w:color w:val="auto"/>
        </w:rPr>
      </w:pPr>
    </w:p>
    <w:p>
      <w:pPr>
        <w:ind w:right="180" w:firstLine="490"/>
        <w:spacing w:after="0" w:line="247" w:lineRule="auto"/>
        <w:rPr>
          <w:sz w:val="20"/>
          <w:szCs w:val="20"/>
          <w:color w:val="auto"/>
        </w:rPr>
      </w:pPr>
      <w:r>
        <w:rPr>
          <w:rFonts w:ascii="Arial" w:cs="Arial" w:eastAsia="Arial" w:hAnsi="Arial"/>
          <w:sz w:val="20"/>
          <w:szCs w:val="20"/>
          <w:color w:val="231F20"/>
        </w:rPr>
        <w:t>The Company is committed to remediating the material weaknesses in our internal control over financial reporting. We have implemented measures designed to improve our internal control over financial reporting to remediate these material weaknesses, and are refining the design and validating the effectiveness of these controls, including (i) ongoing hiring of additional accounting personnel; (ii) designing and implementing internal controls in our financial control environment, including establishing formal accounting policies and procedures and financial reporting controls; and (iii) implementing an accounting system upgrade with IT controls to ensure appropriate and restricted access to our accounting applications, programs, and data, including upgrading of our accounting system.</w:t>
      </w:r>
    </w:p>
    <w:p>
      <w:pPr>
        <w:spacing w:after="0" w:line="193"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Other than the material weakness associated with the accounting for certain non-routine or complex transactions, including the proper application of U.S. GAAP, which has been remediated, the remaining material weaknesses will not be considered remediated until the design requirements described above have been finalized, and the applicable controls have operated for a sufficient period of time and management has concluded, through testing, that these controls are operating effectively. Accordingly, the material weaknesses related to lack of sufficient resources, insufficient segregation of duties, lack of designing and maintaining formal accounting policies, procedures and controls and lack of designing and maintaining effective controls over IT, were not remediated as of December 31, 2025.</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Limitations on the Effectiveness of Controls</w:t>
      </w:r>
    </w:p>
    <w:p>
      <w:pPr>
        <w:spacing w:after="0" w:line="112" w:lineRule="exact"/>
        <w:rPr>
          <w:sz w:val="20"/>
          <w:szCs w:val="20"/>
          <w:color w:val="auto"/>
        </w:rPr>
      </w:pPr>
    </w:p>
    <w:p>
      <w:pPr>
        <w:ind w:right="160" w:firstLine="490"/>
        <w:spacing w:after="0" w:line="250" w:lineRule="auto"/>
        <w:rPr>
          <w:sz w:val="20"/>
          <w:szCs w:val="20"/>
          <w:color w:val="auto"/>
        </w:rPr>
      </w:pPr>
      <w:r>
        <w:rPr>
          <w:rFonts w:ascii="Arial" w:cs="Arial" w:eastAsia="Arial" w:hAnsi="Arial"/>
          <w:sz w:val="20"/>
          <w:szCs w:val="20"/>
          <w:color w:val="231F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Changes in Internal Control over Financial Reporting</w:t>
      </w:r>
    </w:p>
    <w:p>
      <w:pPr>
        <w:spacing w:after="0" w:line="124" w:lineRule="exact"/>
        <w:rPr>
          <w:sz w:val="20"/>
          <w:szCs w:val="20"/>
          <w:color w:val="auto"/>
        </w:rPr>
      </w:pPr>
    </w:p>
    <w:p>
      <w:pPr>
        <w:jc w:val="both"/>
        <w:ind w:right="260" w:firstLine="490"/>
        <w:spacing w:after="0" w:line="261" w:lineRule="auto"/>
        <w:rPr>
          <w:sz w:val="20"/>
          <w:szCs w:val="20"/>
          <w:color w:val="auto"/>
        </w:rPr>
      </w:pPr>
      <w:r>
        <w:rPr>
          <w:rFonts w:ascii="Arial" w:cs="Arial" w:eastAsia="Arial" w:hAnsi="Arial"/>
          <w:sz w:val="20"/>
          <w:szCs w:val="20"/>
          <w:color w:val="231F20"/>
        </w:rPr>
        <w:t>There were no changes in our internal control over financial reporting (as defined in Rules 13a-15(f) and 15d-15(f) under the Exchange Act) during the year ended December 31, 2025 that materially affected, or are reasonably likely to materially affect, our internal control over financial reporting.</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9B. Other Information.</w:t>
      </w:r>
    </w:p>
    <w:p>
      <w:pPr>
        <w:spacing w:after="0" w:line="124" w:lineRule="exact"/>
        <w:rPr>
          <w:sz w:val="20"/>
          <w:szCs w:val="20"/>
          <w:color w:val="auto"/>
        </w:rPr>
      </w:pPr>
    </w:p>
    <w:p>
      <w:pPr>
        <w:ind w:right="320" w:firstLine="490"/>
        <w:spacing w:after="0" w:line="254" w:lineRule="auto"/>
        <w:rPr>
          <w:sz w:val="20"/>
          <w:szCs w:val="20"/>
          <w:color w:val="auto"/>
        </w:rPr>
      </w:pPr>
      <w:r>
        <w:rPr>
          <w:rFonts w:ascii="Arial" w:cs="Arial" w:eastAsia="Arial" w:hAnsi="Arial"/>
          <w:sz w:val="20"/>
          <w:szCs w:val="20"/>
          <w:color w:val="231F20"/>
        </w:rPr>
        <w:t>During the fourth quarter of 2025, none of our directors or officers (as defined in Section 16 of the Securities Exchange Act of 1934, as amended)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9C. Disclosure Regarding Foreign Jurisdictions that Prevent Inspections.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Not applicable.</w:t>
      </w:r>
    </w:p>
    <w:p>
      <w:pPr>
        <w:sectPr>
          <w:pgSz w:w="11880" w:h="15480" w:orient="portrait"/>
          <w:cols w:equalWidth="0" w:num="1">
            <w:col w:w="10800"/>
          </w:cols>
          <w:pgMar w:left="540" w:top="75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10800"/>
          </w:cols>
          <w:pgMar w:left="540" w:top="758" w:right="540" w:bottom="0" w:gutter="0" w:footer="0" w:header="0"/>
          <w:type w:val="continuous"/>
        </w:sectPr>
      </w:pPr>
    </w:p>
    <w:bookmarkStart w:id="85" w:name="page86"/>
    <w:bookmarkEnd w:id="85"/>
    <w:p>
      <w:pPr>
        <w:ind w:left="5260"/>
        <w:spacing w:after="0"/>
        <w:rPr>
          <w:sz w:val="20"/>
          <w:szCs w:val="20"/>
          <w:color w:val="auto"/>
        </w:rPr>
      </w:pPr>
      <w:r>
        <w:rPr>
          <w:rFonts w:ascii="Arial" w:cs="Arial" w:eastAsia="Arial" w:hAnsi="Arial"/>
          <w:sz w:val="20"/>
          <w:szCs w:val="20"/>
          <w:b w:val="1"/>
          <w:bCs w:val="1"/>
          <w:color w:val="231F20"/>
        </w:rPr>
        <w:t>PART III</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10. Directors, Executive Officers and Corporate Governance.</w:t>
      </w:r>
    </w:p>
    <w:p>
      <w:pPr>
        <w:spacing w:after="0" w:line="124" w:lineRule="exact"/>
        <w:rPr>
          <w:sz w:val="20"/>
          <w:szCs w:val="20"/>
          <w:color w:val="auto"/>
        </w:rPr>
      </w:pPr>
    </w:p>
    <w:p>
      <w:pPr>
        <w:ind w:right="220" w:firstLine="490"/>
        <w:spacing w:after="0" w:line="282" w:lineRule="auto"/>
        <w:rPr>
          <w:sz w:val="20"/>
          <w:szCs w:val="20"/>
          <w:color w:val="auto"/>
        </w:rPr>
      </w:pPr>
      <w:r>
        <w:rPr>
          <w:rFonts w:ascii="Arial" w:cs="Arial" w:eastAsia="Arial" w:hAnsi="Arial"/>
          <w:sz w:val="20"/>
          <w:szCs w:val="20"/>
          <w:color w:val="231F20"/>
        </w:rPr>
        <w:t>The information required by this item is incorporated by reference to the Proxy Statement to be filed with the SEC within 120 days after the end of our fiscal year ended December 31, 2025.</w:t>
      </w:r>
    </w:p>
    <w:p>
      <w:pPr>
        <w:spacing w:after="0" w:line="160"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231F20"/>
        </w:rPr>
        <w:t>We have adopted insider trading policies and procedures governing the purchase, sale and other dispositions of our securities by directors, officers and employees that are designed to promote compliance with insider trading laws, rules and regulations, and applicable Nasdaq listing standards, as well as procedures designed to further the foregoing purposes. A copy of our insider trading policy is filed with this Annual Report on Form 10-K as Exhibit 19.1.</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11. Executive Compensation.</w:t>
      </w:r>
    </w:p>
    <w:p>
      <w:pPr>
        <w:spacing w:after="0" w:line="124" w:lineRule="exact"/>
        <w:rPr>
          <w:sz w:val="20"/>
          <w:szCs w:val="20"/>
          <w:color w:val="auto"/>
        </w:rPr>
      </w:pPr>
    </w:p>
    <w:p>
      <w:pPr>
        <w:ind w:right="220" w:firstLine="490"/>
        <w:spacing w:after="0" w:line="282" w:lineRule="auto"/>
        <w:rPr>
          <w:sz w:val="20"/>
          <w:szCs w:val="20"/>
          <w:color w:val="auto"/>
        </w:rPr>
      </w:pPr>
      <w:r>
        <w:rPr>
          <w:rFonts w:ascii="Arial" w:cs="Arial" w:eastAsia="Arial" w:hAnsi="Arial"/>
          <w:sz w:val="20"/>
          <w:szCs w:val="20"/>
          <w:color w:val="231F20"/>
        </w:rPr>
        <w:t>The information required by this item is incorporated by reference to the Proxy Statement to be filed with the SEC within 120 days after the end of our fiscal year ended December 31, 2025.</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12. Security Ownership of Certain Beneficial Owners and Management and Related Stockholder Matters.</w:t>
      </w:r>
    </w:p>
    <w:p>
      <w:pPr>
        <w:spacing w:after="0" w:line="124" w:lineRule="exact"/>
        <w:rPr>
          <w:sz w:val="20"/>
          <w:szCs w:val="20"/>
          <w:color w:val="auto"/>
        </w:rPr>
      </w:pPr>
    </w:p>
    <w:p>
      <w:pPr>
        <w:ind w:right="220" w:firstLine="490"/>
        <w:spacing w:after="0" w:line="282" w:lineRule="auto"/>
        <w:rPr>
          <w:sz w:val="20"/>
          <w:szCs w:val="20"/>
          <w:color w:val="auto"/>
        </w:rPr>
      </w:pPr>
      <w:r>
        <w:rPr>
          <w:rFonts w:ascii="Arial" w:cs="Arial" w:eastAsia="Arial" w:hAnsi="Arial"/>
          <w:sz w:val="20"/>
          <w:szCs w:val="20"/>
          <w:color w:val="231F20"/>
        </w:rPr>
        <w:t>The information required by this item is incorporated by reference to the Proxy Statement to be filed with the SEC within 120 days after the end of our fiscal year ended December 31, 2025.</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13. Certain Relationships and Related Transactions, and Director Independence.</w:t>
      </w:r>
    </w:p>
    <w:p>
      <w:pPr>
        <w:spacing w:after="0" w:line="124" w:lineRule="exact"/>
        <w:rPr>
          <w:sz w:val="20"/>
          <w:szCs w:val="20"/>
          <w:color w:val="auto"/>
        </w:rPr>
      </w:pPr>
    </w:p>
    <w:p>
      <w:pPr>
        <w:ind w:right="220" w:firstLine="490"/>
        <w:spacing w:after="0" w:line="282" w:lineRule="auto"/>
        <w:rPr>
          <w:sz w:val="20"/>
          <w:szCs w:val="20"/>
          <w:color w:val="auto"/>
        </w:rPr>
      </w:pPr>
      <w:r>
        <w:rPr>
          <w:rFonts w:ascii="Arial" w:cs="Arial" w:eastAsia="Arial" w:hAnsi="Arial"/>
          <w:sz w:val="20"/>
          <w:szCs w:val="20"/>
          <w:color w:val="231F20"/>
        </w:rPr>
        <w:t>The information required by this item is incorporated by reference to the Proxy Statement to be filed with the SEC within 120 days after the end of our fiscal year ended December 31, 2025.</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14. Principal Accounting Fees and Services.</w:t>
      </w:r>
    </w:p>
    <w:p>
      <w:pPr>
        <w:spacing w:after="0" w:line="124" w:lineRule="exact"/>
        <w:rPr>
          <w:sz w:val="20"/>
          <w:szCs w:val="20"/>
          <w:color w:val="auto"/>
        </w:rPr>
      </w:pPr>
    </w:p>
    <w:p>
      <w:pPr>
        <w:ind w:right="220" w:firstLine="490"/>
        <w:spacing w:after="0" w:line="282" w:lineRule="auto"/>
        <w:rPr>
          <w:sz w:val="20"/>
          <w:szCs w:val="20"/>
          <w:color w:val="auto"/>
        </w:rPr>
      </w:pPr>
      <w:r>
        <w:rPr>
          <w:rFonts w:ascii="Arial" w:cs="Arial" w:eastAsia="Arial" w:hAnsi="Arial"/>
          <w:sz w:val="20"/>
          <w:szCs w:val="20"/>
          <w:color w:val="231F20"/>
        </w:rPr>
        <w:t>The information required by this item is incorporated by reference to the Proxy Statement to be filed with the SEC within 120 days after the end of our fiscal year ended December 31, 2025.</w:t>
      </w:r>
    </w:p>
    <w:p>
      <w:pPr>
        <w:sectPr>
          <w:pgSz w:w="11880" w:h="15480" w:orient="portrait"/>
          <w:cols w:equalWidth="0" w:num="1">
            <w:col w:w="10720"/>
          </w:cols>
          <w:pgMar w:left="540" w:top="746"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10720"/>
          </w:cols>
          <w:pgMar w:left="540" w:top="746" w:right="620" w:bottom="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85"/>
        </w:trPr>
        <w:tc>
          <w:tcPr>
            <w:tcW w:w="10220" w:type="dxa"/>
            <w:vAlign w:val="bottom"/>
          </w:tcPr>
          <w:p>
            <w:pPr>
              <w:ind w:left="5260"/>
              <w:spacing w:after="0"/>
              <w:rPr>
                <w:sz w:val="20"/>
                <w:szCs w:val="20"/>
                <w:color w:val="auto"/>
              </w:rPr>
            </w:pPr>
            <w:r>
              <w:rPr>
                <w:rFonts w:ascii="Arial" w:cs="Arial" w:eastAsia="Arial" w:hAnsi="Arial"/>
                <w:sz w:val="20"/>
                <w:szCs w:val="20"/>
                <w:b w:val="1"/>
                <w:bCs w:val="1"/>
                <w:color w:val="231F20"/>
              </w:rPr>
              <w:t>PART IV</w:t>
            </w:r>
          </w:p>
        </w:tc>
        <w:tc>
          <w:tcPr>
            <w:tcW w:w="560" w:type="dxa"/>
            <w:vAlign w:val="bottom"/>
          </w:tcPr>
          <w:p>
            <w:pPr>
              <w:spacing w:after="0"/>
              <w:rPr>
                <w:sz w:val="24"/>
                <w:szCs w:val="24"/>
                <w:color w:val="auto"/>
              </w:rPr>
            </w:pPr>
          </w:p>
        </w:tc>
      </w:tr>
      <w:tr>
        <w:trPr>
          <w:trHeight w:val="590"/>
        </w:trPr>
        <w:tc>
          <w:tcPr>
            <w:tcW w:w="10220" w:type="dxa"/>
            <w:vAlign w:val="bottom"/>
          </w:tcPr>
          <w:p>
            <w:pPr>
              <w:spacing w:after="0"/>
              <w:rPr>
                <w:sz w:val="20"/>
                <w:szCs w:val="20"/>
                <w:color w:val="auto"/>
              </w:rPr>
            </w:pPr>
            <w:r>
              <w:rPr>
                <w:rFonts w:ascii="Arial" w:cs="Arial" w:eastAsia="Arial" w:hAnsi="Arial"/>
                <w:sz w:val="20"/>
                <w:szCs w:val="20"/>
                <w:b w:val="1"/>
                <w:bCs w:val="1"/>
                <w:color w:val="231F20"/>
              </w:rPr>
              <w:t>Item 15. Exhibits, Financial Statement Schedules.</w:t>
            </w:r>
          </w:p>
        </w:tc>
        <w:tc>
          <w:tcPr>
            <w:tcW w:w="560" w:type="dxa"/>
            <w:vAlign w:val="bottom"/>
          </w:tcPr>
          <w:p>
            <w:pPr>
              <w:spacing w:after="0"/>
              <w:rPr>
                <w:sz w:val="24"/>
                <w:szCs w:val="24"/>
                <w:color w:val="auto"/>
              </w:rPr>
            </w:pPr>
          </w:p>
        </w:tc>
      </w:tr>
      <w:tr>
        <w:trPr>
          <w:trHeight w:val="340"/>
        </w:trPr>
        <w:tc>
          <w:tcPr>
            <w:tcW w:w="10220" w:type="dxa"/>
            <w:vAlign w:val="bottom"/>
          </w:tcPr>
          <w:p>
            <w:pPr>
              <w:ind w:left="480"/>
              <w:spacing w:after="0"/>
              <w:rPr>
                <w:sz w:val="20"/>
                <w:szCs w:val="20"/>
                <w:color w:val="auto"/>
              </w:rPr>
            </w:pPr>
            <w:r>
              <w:rPr>
                <w:rFonts w:ascii="Arial" w:cs="Arial" w:eastAsia="Arial" w:hAnsi="Arial"/>
                <w:sz w:val="20"/>
                <w:szCs w:val="20"/>
                <w:color w:val="231F20"/>
              </w:rPr>
              <w:t>(a)   The following documents are filed as a part of this Annual Report:</w:t>
            </w:r>
          </w:p>
        </w:tc>
        <w:tc>
          <w:tcPr>
            <w:tcW w:w="560" w:type="dxa"/>
            <w:vAlign w:val="bottom"/>
          </w:tcPr>
          <w:p>
            <w:pPr>
              <w:spacing w:after="0"/>
              <w:rPr>
                <w:sz w:val="24"/>
                <w:szCs w:val="24"/>
                <w:color w:val="auto"/>
              </w:rPr>
            </w:pPr>
          </w:p>
        </w:tc>
      </w:tr>
      <w:tr>
        <w:trPr>
          <w:trHeight w:val="350"/>
        </w:trPr>
        <w:tc>
          <w:tcPr>
            <w:tcW w:w="10220" w:type="dxa"/>
            <w:vAlign w:val="bottom"/>
          </w:tcPr>
          <w:p>
            <w:pPr>
              <w:ind w:left="960"/>
              <w:spacing w:after="0"/>
              <w:rPr>
                <w:sz w:val="20"/>
                <w:szCs w:val="20"/>
                <w:color w:val="auto"/>
              </w:rPr>
            </w:pPr>
            <w:r>
              <w:rPr>
                <w:rFonts w:ascii="Arial" w:cs="Arial" w:eastAsia="Arial" w:hAnsi="Arial"/>
                <w:sz w:val="20"/>
                <w:szCs w:val="20"/>
                <w:i w:val="1"/>
                <w:iCs w:val="1"/>
                <w:color w:val="231F20"/>
              </w:rPr>
              <w:t>(1)   Financial Statements:</w:t>
            </w:r>
          </w:p>
        </w:tc>
        <w:tc>
          <w:tcPr>
            <w:tcW w:w="560" w:type="dxa"/>
            <w:vAlign w:val="bottom"/>
          </w:tcPr>
          <w:p>
            <w:pPr>
              <w:spacing w:after="0"/>
              <w:rPr>
                <w:sz w:val="24"/>
                <w:szCs w:val="24"/>
                <w:color w:val="auto"/>
              </w:rPr>
            </w:pPr>
          </w:p>
        </w:tc>
      </w:tr>
      <w:tr>
        <w:trPr>
          <w:trHeight w:val="337"/>
        </w:trPr>
        <w:tc>
          <w:tcPr>
            <w:tcW w:w="10220" w:type="dxa"/>
            <w:vAlign w:val="bottom"/>
          </w:tcPr>
          <w:p>
            <w:pPr>
              <w:ind w:left="1400"/>
              <w:spacing w:after="0"/>
              <w:rPr>
                <w:sz w:val="20"/>
                <w:szCs w:val="20"/>
                <w:color w:val="auto"/>
              </w:rPr>
            </w:pPr>
            <w:r>
              <w:rPr>
                <w:rFonts w:ascii="Arial" w:cs="Arial" w:eastAsia="Arial" w:hAnsi="Arial"/>
                <w:sz w:val="20"/>
                <w:szCs w:val="20"/>
                <w:color w:val="231F20"/>
              </w:rPr>
              <w:t>Report of Independent Registered Public Accounting Firm (PCAOB ID: 238)</w:t>
            </w:r>
          </w:p>
        </w:tc>
        <w:tc>
          <w:tcPr>
            <w:tcW w:w="560" w:type="dxa"/>
            <w:vAlign w:val="bottom"/>
          </w:tcPr>
          <w:p>
            <w:pPr>
              <w:ind w:left="260"/>
              <w:spacing w:after="0"/>
              <w:rPr>
                <w:sz w:val="20"/>
                <w:szCs w:val="20"/>
                <w:color w:val="auto"/>
              </w:rPr>
            </w:pPr>
            <w:r>
              <w:rPr>
                <w:rFonts w:ascii="Arial" w:cs="Arial" w:eastAsia="Arial" w:hAnsi="Arial"/>
                <w:sz w:val="20"/>
                <w:szCs w:val="20"/>
                <w:color w:val="231F20"/>
                <w:w w:val="93"/>
              </w:rPr>
              <w:t>F-2</w:t>
            </w:r>
          </w:p>
        </w:tc>
      </w:tr>
      <w:tr>
        <w:trPr>
          <w:trHeight w:val="244"/>
        </w:trPr>
        <w:tc>
          <w:tcPr>
            <w:tcW w:w="10220" w:type="dxa"/>
            <w:vAlign w:val="bottom"/>
          </w:tcPr>
          <w:p>
            <w:pPr>
              <w:ind w:left="1400"/>
              <w:spacing w:after="0"/>
              <w:rPr>
                <w:sz w:val="20"/>
                <w:szCs w:val="20"/>
                <w:color w:val="auto"/>
              </w:rPr>
            </w:pPr>
            <w:r>
              <w:rPr>
                <w:rFonts w:ascii="Arial" w:cs="Arial" w:eastAsia="Arial" w:hAnsi="Arial"/>
                <w:sz w:val="20"/>
                <w:szCs w:val="20"/>
                <w:color w:val="231F20"/>
              </w:rPr>
              <w:t>Balance Sheets as of December 31, 2025 and 2024</w:t>
            </w:r>
          </w:p>
        </w:tc>
        <w:tc>
          <w:tcPr>
            <w:tcW w:w="560" w:type="dxa"/>
            <w:vAlign w:val="bottom"/>
          </w:tcPr>
          <w:p>
            <w:pPr>
              <w:ind w:left="260"/>
              <w:spacing w:after="0"/>
              <w:rPr>
                <w:sz w:val="20"/>
                <w:szCs w:val="20"/>
                <w:color w:val="auto"/>
              </w:rPr>
            </w:pPr>
            <w:r>
              <w:rPr>
                <w:rFonts w:ascii="Arial" w:cs="Arial" w:eastAsia="Arial" w:hAnsi="Arial"/>
                <w:sz w:val="20"/>
                <w:szCs w:val="20"/>
                <w:color w:val="231F20"/>
                <w:w w:val="93"/>
              </w:rPr>
              <w:t>F-3</w:t>
            </w:r>
          </w:p>
        </w:tc>
      </w:tr>
      <w:tr>
        <w:trPr>
          <w:trHeight w:val="230"/>
        </w:trPr>
        <w:tc>
          <w:tcPr>
            <w:tcW w:w="10220" w:type="dxa"/>
            <w:vAlign w:val="bottom"/>
          </w:tcPr>
          <w:p>
            <w:pPr>
              <w:ind w:left="1400"/>
              <w:spacing w:after="0"/>
              <w:rPr>
                <w:sz w:val="20"/>
                <w:szCs w:val="20"/>
                <w:color w:val="auto"/>
              </w:rPr>
            </w:pPr>
            <w:r>
              <w:rPr>
                <w:rFonts w:ascii="Arial" w:cs="Arial" w:eastAsia="Arial" w:hAnsi="Arial"/>
                <w:sz w:val="20"/>
                <w:szCs w:val="20"/>
                <w:color w:val="231F20"/>
              </w:rPr>
              <w:t>Statements of Operations and Comprehensive Loss for the years ended December 31, 2025 and</w:t>
            </w:r>
          </w:p>
        </w:tc>
        <w:tc>
          <w:tcPr>
            <w:tcW w:w="560" w:type="dxa"/>
            <w:vAlign w:val="bottom"/>
          </w:tcPr>
          <w:p>
            <w:pPr>
              <w:spacing w:after="0"/>
              <w:rPr>
                <w:sz w:val="20"/>
                <w:szCs w:val="20"/>
                <w:color w:val="auto"/>
              </w:rPr>
            </w:pPr>
          </w:p>
        </w:tc>
      </w:tr>
      <w:tr>
        <w:trPr>
          <w:trHeight w:val="244"/>
        </w:trPr>
        <w:tc>
          <w:tcPr>
            <w:tcW w:w="10220" w:type="dxa"/>
            <w:vAlign w:val="bottom"/>
          </w:tcPr>
          <w:p>
            <w:pPr>
              <w:ind w:left="1400"/>
              <w:spacing w:after="0"/>
              <w:rPr>
                <w:sz w:val="20"/>
                <w:szCs w:val="20"/>
                <w:color w:val="auto"/>
              </w:rPr>
            </w:pPr>
            <w:r>
              <w:rPr>
                <w:rFonts w:ascii="Arial" w:cs="Arial" w:eastAsia="Arial" w:hAnsi="Arial"/>
                <w:sz w:val="20"/>
                <w:szCs w:val="20"/>
                <w:color w:val="231F20"/>
              </w:rPr>
              <w:t>2024</w:t>
            </w:r>
          </w:p>
        </w:tc>
        <w:tc>
          <w:tcPr>
            <w:tcW w:w="560" w:type="dxa"/>
            <w:vAlign w:val="bottom"/>
          </w:tcPr>
          <w:p>
            <w:pPr>
              <w:ind w:left="260"/>
              <w:spacing w:after="0"/>
              <w:rPr>
                <w:sz w:val="20"/>
                <w:szCs w:val="20"/>
                <w:color w:val="auto"/>
              </w:rPr>
            </w:pPr>
            <w:r>
              <w:rPr>
                <w:rFonts w:ascii="Arial" w:cs="Arial" w:eastAsia="Arial" w:hAnsi="Arial"/>
                <w:sz w:val="20"/>
                <w:szCs w:val="20"/>
                <w:color w:val="231F20"/>
                <w:w w:val="93"/>
              </w:rPr>
              <w:t>F-4</w:t>
            </w:r>
          </w:p>
        </w:tc>
      </w:tr>
      <w:tr>
        <w:trPr>
          <w:trHeight w:val="244"/>
        </w:trPr>
        <w:tc>
          <w:tcPr>
            <w:tcW w:w="10220" w:type="dxa"/>
            <w:vAlign w:val="bottom"/>
          </w:tcPr>
          <w:p>
            <w:pPr>
              <w:ind w:left="1400"/>
              <w:spacing w:after="0"/>
              <w:rPr>
                <w:sz w:val="20"/>
                <w:szCs w:val="20"/>
                <w:color w:val="auto"/>
              </w:rPr>
            </w:pPr>
            <w:r>
              <w:rPr>
                <w:rFonts w:ascii="Arial" w:cs="Arial" w:eastAsia="Arial" w:hAnsi="Arial"/>
                <w:sz w:val="20"/>
                <w:szCs w:val="20"/>
                <w:color w:val="231F20"/>
              </w:rPr>
              <w:t>Statements of Stockholders’ Equity for the years ended December 31, 2025 and 2024</w:t>
            </w:r>
          </w:p>
        </w:tc>
        <w:tc>
          <w:tcPr>
            <w:tcW w:w="560" w:type="dxa"/>
            <w:vAlign w:val="bottom"/>
          </w:tcPr>
          <w:p>
            <w:pPr>
              <w:ind w:left="260"/>
              <w:spacing w:after="0"/>
              <w:rPr>
                <w:sz w:val="20"/>
                <w:szCs w:val="20"/>
                <w:color w:val="auto"/>
              </w:rPr>
            </w:pPr>
            <w:r>
              <w:rPr>
                <w:rFonts w:ascii="Arial" w:cs="Arial" w:eastAsia="Arial" w:hAnsi="Arial"/>
                <w:sz w:val="20"/>
                <w:szCs w:val="20"/>
                <w:color w:val="231F20"/>
                <w:w w:val="93"/>
              </w:rPr>
              <w:t>F-5</w:t>
            </w:r>
          </w:p>
        </w:tc>
      </w:tr>
      <w:tr>
        <w:trPr>
          <w:trHeight w:val="244"/>
        </w:trPr>
        <w:tc>
          <w:tcPr>
            <w:tcW w:w="10220" w:type="dxa"/>
            <w:vAlign w:val="bottom"/>
          </w:tcPr>
          <w:p>
            <w:pPr>
              <w:ind w:left="1400"/>
              <w:spacing w:after="0"/>
              <w:rPr>
                <w:sz w:val="20"/>
                <w:szCs w:val="20"/>
                <w:color w:val="auto"/>
              </w:rPr>
            </w:pPr>
            <w:r>
              <w:rPr>
                <w:rFonts w:ascii="Arial" w:cs="Arial" w:eastAsia="Arial" w:hAnsi="Arial"/>
                <w:sz w:val="20"/>
                <w:szCs w:val="20"/>
                <w:color w:val="231F20"/>
              </w:rPr>
              <w:t>Statements of Cash Flows for the years ended December 31, 2025 and 2024</w:t>
            </w:r>
          </w:p>
        </w:tc>
        <w:tc>
          <w:tcPr>
            <w:tcW w:w="560" w:type="dxa"/>
            <w:vAlign w:val="bottom"/>
          </w:tcPr>
          <w:p>
            <w:pPr>
              <w:ind w:left="260"/>
              <w:spacing w:after="0"/>
              <w:rPr>
                <w:sz w:val="20"/>
                <w:szCs w:val="20"/>
                <w:color w:val="auto"/>
              </w:rPr>
            </w:pPr>
            <w:r>
              <w:rPr>
                <w:rFonts w:ascii="Arial" w:cs="Arial" w:eastAsia="Arial" w:hAnsi="Arial"/>
                <w:sz w:val="20"/>
                <w:szCs w:val="20"/>
                <w:color w:val="231F20"/>
                <w:w w:val="93"/>
              </w:rPr>
              <w:t>F-6</w:t>
            </w:r>
          </w:p>
        </w:tc>
      </w:tr>
      <w:tr>
        <w:trPr>
          <w:trHeight w:val="271"/>
        </w:trPr>
        <w:tc>
          <w:tcPr>
            <w:tcW w:w="10220" w:type="dxa"/>
            <w:vAlign w:val="bottom"/>
          </w:tcPr>
          <w:p>
            <w:pPr>
              <w:ind w:left="1400"/>
              <w:spacing w:after="0"/>
              <w:rPr>
                <w:sz w:val="20"/>
                <w:szCs w:val="20"/>
                <w:color w:val="auto"/>
              </w:rPr>
            </w:pPr>
            <w:r>
              <w:rPr>
                <w:rFonts w:ascii="Arial" w:cs="Arial" w:eastAsia="Arial" w:hAnsi="Arial"/>
                <w:sz w:val="20"/>
                <w:szCs w:val="20"/>
                <w:color w:val="231F20"/>
              </w:rPr>
              <w:t>Notes to the Financial Statements</w:t>
            </w:r>
          </w:p>
        </w:tc>
        <w:tc>
          <w:tcPr>
            <w:tcW w:w="560" w:type="dxa"/>
            <w:vAlign w:val="bottom"/>
          </w:tcPr>
          <w:p>
            <w:pPr>
              <w:ind w:left="260"/>
              <w:spacing w:after="0"/>
              <w:rPr>
                <w:sz w:val="20"/>
                <w:szCs w:val="20"/>
                <w:color w:val="auto"/>
              </w:rPr>
            </w:pPr>
            <w:r>
              <w:rPr>
                <w:rFonts w:ascii="Arial" w:cs="Arial" w:eastAsia="Arial" w:hAnsi="Arial"/>
                <w:sz w:val="20"/>
                <w:szCs w:val="20"/>
                <w:color w:val="231F20"/>
                <w:w w:val="93"/>
              </w:rPr>
              <w:t>F-7</w:t>
            </w:r>
          </w:p>
        </w:tc>
      </w:tr>
    </w:tbl>
    <w:p>
      <w:pPr>
        <w:spacing w:after="0" w:line="197" w:lineRule="exact"/>
        <w:rPr>
          <w:sz w:val="20"/>
          <w:szCs w:val="20"/>
          <w:color w:val="auto"/>
        </w:rPr>
      </w:pPr>
    </w:p>
    <w:p>
      <w:pPr>
        <w:ind w:left="1440" w:hanging="490"/>
        <w:spacing w:after="0"/>
        <w:tabs>
          <w:tab w:leader="none" w:pos="1440" w:val="left"/>
        </w:tabs>
        <w:numPr>
          <w:ilvl w:val="0"/>
          <w:numId w:val="50"/>
        </w:numPr>
        <w:rPr>
          <w:rFonts w:ascii="Arial" w:cs="Arial" w:eastAsia="Arial" w:hAnsi="Arial"/>
          <w:sz w:val="20"/>
          <w:szCs w:val="20"/>
          <w:i w:val="1"/>
          <w:iCs w:val="1"/>
          <w:color w:val="231F20"/>
        </w:rPr>
      </w:pPr>
      <w:r>
        <w:rPr>
          <w:rFonts w:ascii="Arial" w:cs="Arial" w:eastAsia="Arial" w:hAnsi="Arial"/>
          <w:sz w:val="20"/>
          <w:szCs w:val="20"/>
          <w:i w:val="1"/>
          <w:iCs w:val="1"/>
          <w:color w:val="231F20"/>
        </w:rPr>
        <w:t>Financial Statement Schedules:</w:t>
      </w:r>
    </w:p>
    <w:p>
      <w:pPr>
        <w:spacing w:after="0" w:line="112" w:lineRule="exact"/>
        <w:rPr>
          <w:rFonts w:ascii="Arial" w:cs="Arial" w:eastAsia="Arial" w:hAnsi="Arial"/>
          <w:sz w:val="20"/>
          <w:szCs w:val="20"/>
          <w:i w:val="1"/>
          <w:iCs w:val="1"/>
          <w:color w:val="231F20"/>
        </w:rPr>
      </w:pPr>
    </w:p>
    <w:p>
      <w:pPr>
        <w:ind w:left="1440" w:right="120"/>
        <w:spacing w:after="0" w:line="282" w:lineRule="auto"/>
        <w:rPr>
          <w:rFonts w:ascii="Arial" w:cs="Arial" w:eastAsia="Arial" w:hAnsi="Arial"/>
          <w:sz w:val="20"/>
          <w:szCs w:val="20"/>
          <w:i w:val="1"/>
          <w:iCs w:val="1"/>
          <w:color w:val="231F20"/>
        </w:rPr>
      </w:pPr>
      <w:r>
        <w:rPr>
          <w:rFonts w:ascii="Arial" w:cs="Arial" w:eastAsia="Arial" w:hAnsi="Arial"/>
          <w:sz w:val="20"/>
          <w:szCs w:val="20"/>
          <w:color w:val="231F20"/>
        </w:rPr>
        <w:t>All financial statement schedules have been omitted because they are not applicable, not required or the information required is shown in the financial statements or the notes thereto.</w:t>
      </w:r>
    </w:p>
    <w:p>
      <w:pPr>
        <w:spacing w:after="0" w:line="167" w:lineRule="exact"/>
        <w:rPr>
          <w:rFonts w:ascii="Arial" w:cs="Arial" w:eastAsia="Arial" w:hAnsi="Arial"/>
          <w:sz w:val="20"/>
          <w:szCs w:val="20"/>
          <w:i w:val="1"/>
          <w:iCs w:val="1"/>
          <w:color w:val="231F20"/>
        </w:rPr>
      </w:pPr>
    </w:p>
    <w:p>
      <w:pPr>
        <w:ind w:left="1440" w:hanging="490"/>
        <w:spacing w:after="0"/>
        <w:tabs>
          <w:tab w:leader="none" w:pos="1440" w:val="left"/>
        </w:tabs>
        <w:numPr>
          <w:ilvl w:val="0"/>
          <w:numId w:val="50"/>
        </w:numPr>
        <w:rPr>
          <w:rFonts w:ascii="Arial" w:cs="Arial" w:eastAsia="Arial" w:hAnsi="Arial"/>
          <w:sz w:val="20"/>
          <w:szCs w:val="20"/>
          <w:i w:val="1"/>
          <w:iCs w:val="1"/>
          <w:color w:val="231F20"/>
        </w:rPr>
      </w:pPr>
      <w:r>
        <w:rPr>
          <w:rFonts w:ascii="Arial" w:cs="Arial" w:eastAsia="Arial" w:hAnsi="Arial"/>
          <w:sz w:val="20"/>
          <w:szCs w:val="20"/>
          <w:i w:val="1"/>
          <w:iCs w:val="1"/>
          <w:color w:val="231F20"/>
        </w:rPr>
        <w:t>Exhibits:</w:t>
      </w:r>
    </w:p>
    <w:p>
      <w:pPr>
        <w:spacing w:after="0" w:line="112" w:lineRule="exact"/>
        <w:rPr>
          <w:rFonts w:ascii="Arial" w:cs="Arial" w:eastAsia="Arial" w:hAnsi="Arial"/>
          <w:sz w:val="20"/>
          <w:szCs w:val="20"/>
          <w:i w:val="1"/>
          <w:iCs w:val="1"/>
          <w:color w:val="231F20"/>
        </w:rPr>
      </w:pPr>
    </w:p>
    <w:p>
      <w:pPr>
        <w:ind w:left="1440" w:right="140"/>
        <w:spacing w:after="0" w:line="261" w:lineRule="auto"/>
        <w:rPr>
          <w:rFonts w:ascii="Arial" w:cs="Arial" w:eastAsia="Arial" w:hAnsi="Arial"/>
          <w:sz w:val="20"/>
          <w:szCs w:val="20"/>
          <w:i w:val="1"/>
          <w:iCs w:val="1"/>
          <w:color w:val="231F20"/>
        </w:rPr>
      </w:pPr>
      <w:r>
        <w:rPr>
          <w:rFonts w:ascii="Arial" w:cs="Arial" w:eastAsia="Arial" w:hAnsi="Arial"/>
          <w:sz w:val="20"/>
          <w:szCs w:val="20"/>
          <w:color w:val="231F20"/>
        </w:rPr>
        <w:t>The list of exhibits filed with this Annual Report on Form 10-K is set forth in the Exhibit Index preceding the signature page and is incorporated herein by reference or filed with this Annual Report, in each case as indicated therein (numbered in accordance with Item 601 of Regulation S-K).</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16. Form 10-K Summary.</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231F20"/>
        </w:rPr>
        <w:t>None.</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10780"/>
          </w:cols>
          <w:pgMar w:left="540" w:top="746" w:right="560"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85"/>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3"/>
          </w:tcPr>
          <w:p>
            <w:pPr>
              <w:ind w:left="3700"/>
              <w:spacing w:after="0"/>
              <w:rPr>
                <w:sz w:val="20"/>
                <w:szCs w:val="20"/>
                <w:color w:val="auto"/>
              </w:rPr>
            </w:pPr>
            <w:r>
              <w:rPr>
                <w:rFonts w:ascii="Arial" w:cs="Arial" w:eastAsia="Arial" w:hAnsi="Arial"/>
                <w:sz w:val="20"/>
                <w:szCs w:val="20"/>
                <w:b w:val="1"/>
                <w:bCs w:val="1"/>
                <w:color w:val="231F20"/>
              </w:rPr>
              <w:t>Exhibit Index</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80" w:type="dxa"/>
            <w:vAlign w:val="bottom"/>
            <w:vMerge w:val="restart"/>
          </w:tcPr>
          <w:p>
            <w:pPr>
              <w:ind w:left="160"/>
              <w:spacing w:after="0"/>
              <w:rPr>
                <w:sz w:val="20"/>
                <w:szCs w:val="20"/>
                <w:color w:val="auto"/>
              </w:rPr>
            </w:pPr>
            <w:r>
              <w:rPr>
                <w:rFonts w:ascii="Arial" w:cs="Arial" w:eastAsia="Arial" w:hAnsi="Arial"/>
                <w:sz w:val="20"/>
                <w:szCs w:val="20"/>
                <w:b w:val="1"/>
                <w:bCs w:val="1"/>
                <w:color w:val="231F20"/>
              </w:rPr>
              <w:t>Exhibit</w:t>
            </w: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4040" w:type="dxa"/>
            <w:vAlign w:val="bottom"/>
            <w:tcBorders>
              <w:bottom w:val="single" w:sz="8" w:color="231F20"/>
            </w:tcBorders>
            <w:gridSpan w:val="5"/>
          </w:tcPr>
          <w:p>
            <w:pPr>
              <w:ind w:left="380"/>
              <w:spacing w:after="0"/>
              <w:rPr>
                <w:sz w:val="20"/>
                <w:szCs w:val="20"/>
                <w:color w:val="auto"/>
              </w:rPr>
            </w:pPr>
            <w:r>
              <w:rPr>
                <w:rFonts w:ascii="Arial" w:cs="Arial" w:eastAsia="Arial" w:hAnsi="Arial"/>
                <w:sz w:val="20"/>
                <w:szCs w:val="20"/>
                <w:b w:val="1"/>
                <w:bCs w:val="1"/>
                <w:color w:val="231F20"/>
              </w:rPr>
              <w:t>Incorporated by Reference</w:t>
            </w:r>
          </w:p>
        </w:tc>
        <w:tc>
          <w:tcPr>
            <w:tcW w:w="0" w:type="dxa"/>
            <w:vAlign w:val="bottom"/>
          </w:tcPr>
          <w:p>
            <w:pPr>
              <w:spacing w:after="0"/>
              <w:rPr>
                <w:sz w:val="1"/>
                <w:szCs w:val="1"/>
                <w:color w:val="auto"/>
              </w:rPr>
            </w:pPr>
          </w:p>
        </w:tc>
      </w:tr>
      <w:tr>
        <w:trPr>
          <w:trHeight w:val="197"/>
        </w:trPr>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80" w:type="dxa"/>
            <w:vAlign w:val="bottom"/>
          </w:tcPr>
          <w:p>
            <w:pPr>
              <w:ind w:left="100"/>
              <w:spacing w:after="0"/>
              <w:rPr>
                <w:sz w:val="20"/>
                <w:szCs w:val="20"/>
                <w:color w:val="auto"/>
              </w:rPr>
            </w:pPr>
            <w:r>
              <w:rPr>
                <w:rFonts w:ascii="Arial" w:cs="Arial" w:eastAsia="Arial" w:hAnsi="Arial"/>
                <w:sz w:val="20"/>
                <w:szCs w:val="20"/>
                <w:b w:val="1"/>
                <w:bCs w:val="1"/>
                <w:color w:val="231F20"/>
              </w:rPr>
              <w:t>Number</w:t>
            </w:r>
          </w:p>
        </w:tc>
        <w:tc>
          <w:tcPr>
            <w:tcW w:w="100" w:type="dxa"/>
            <w:vAlign w:val="bottom"/>
          </w:tcPr>
          <w:p>
            <w:pPr>
              <w:spacing w:after="0"/>
              <w:rPr>
                <w:sz w:val="22"/>
                <w:szCs w:val="22"/>
                <w:color w:val="auto"/>
              </w:rPr>
            </w:pPr>
          </w:p>
        </w:tc>
        <w:tc>
          <w:tcPr>
            <w:tcW w:w="4980" w:type="dxa"/>
            <w:vAlign w:val="bottom"/>
            <w:gridSpan w:val="3"/>
          </w:tcPr>
          <w:p>
            <w:pPr>
              <w:ind w:left="1860"/>
              <w:spacing w:after="0"/>
              <w:rPr>
                <w:sz w:val="20"/>
                <w:szCs w:val="20"/>
                <w:color w:val="auto"/>
              </w:rPr>
            </w:pPr>
            <w:r>
              <w:rPr>
                <w:rFonts w:ascii="Arial" w:cs="Arial" w:eastAsia="Arial" w:hAnsi="Arial"/>
                <w:sz w:val="20"/>
                <w:szCs w:val="20"/>
                <w:b w:val="1"/>
                <w:bCs w:val="1"/>
                <w:color w:val="231F20"/>
              </w:rPr>
              <w:t>Description</w:t>
            </w:r>
          </w:p>
        </w:tc>
        <w:tc>
          <w:tcPr>
            <w:tcW w:w="600" w:type="dxa"/>
            <w:vAlign w:val="bottom"/>
          </w:tcPr>
          <w:p>
            <w:pPr>
              <w:jc w:val="center"/>
              <w:spacing w:after="0"/>
              <w:rPr>
                <w:sz w:val="20"/>
                <w:szCs w:val="20"/>
                <w:color w:val="auto"/>
              </w:rPr>
            </w:pPr>
            <w:r>
              <w:rPr>
                <w:rFonts w:ascii="Arial" w:cs="Arial" w:eastAsia="Arial" w:hAnsi="Arial"/>
                <w:sz w:val="20"/>
                <w:szCs w:val="20"/>
                <w:b w:val="1"/>
                <w:bCs w:val="1"/>
                <w:color w:val="231F20"/>
                <w:w w:val="99"/>
              </w:rPr>
              <w:t>Form</w:t>
            </w:r>
          </w:p>
        </w:tc>
        <w:tc>
          <w:tcPr>
            <w:tcW w:w="100" w:type="dxa"/>
            <w:vAlign w:val="bottom"/>
          </w:tcPr>
          <w:p>
            <w:pPr>
              <w:spacing w:after="0"/>
              <w:rPr>
                <w:sz w:val="22"/>
                <w:szCs w:val="22"/>
                <w:color w:val="auto"/>
              </w:rPr>
            </w:pPr>
          </w:p>
        </w:tc>
        <w:tc>
          <w:tcPr>
            <w:tcW w:w="1300" w:type="dxa"/>
            <w:vAlign w:val="bottom"/>
          </w:tcPr>
          <w:p>
            <w:pPr>
              <w:ind w:left="280"/>
              <w:spacing w:after="0"/>
              <w:rPr>
                <w:sz w:val="20"/>
                <w:szCs w:val="20"/>
                <w:color w:val="auto"/>
              </w:rPr>
            </w:pPr>
            <w:r>
              <w:rPr>
                <w:rFonts w:ascii="Arial" w:cs="Arial" w:eastAsia="Arial" w:hAnsi="Arial"/>
                <w:sz w:val="20"/>
                <w:szCs w:val="20"/>
                <w:b w:val="1"/>
                <w:bCs w:val="1"/>
                <w:color w:val="231F20"/>
              </w:rPr>
              <w:t>File No.</w:t>
            </w:r>
          </w:p>
        </w:tc>
        <w:tc>
          <w:tcPr>
            <w:tcW w:w="100" w:type="dxa"/>
            <w:vAlign w:val="bottom"/>
          </w:tcPr>
          <w:p>
            <w:pPr>
              <w:spacing w:after="0"/>
              <w:rPr>
                <w:sz w:val="22"/>
                <w:szCs w:val="22"/>
                <w:color w:val="auto"/>
              </w:rPr>
            </w:pPr>
          </w:p>
        </w:tc>
        <w:tc>
          <w:tcPr>
            <w:tcW w:w="980" w:type="dxa"/>
            <w:vAlign w:val="bottom"/>
          </w:tcPr>
          <w:p>
            <w:pPr>
              <w:ind w:left="160"/>
              <w:spacing w:after="0"/>
              <w:rPr>
                <w:sz w:val="20"/>
                <w:szCs w:val="20"/>
                <w:color w:val="auto"/>
              </w:rPr>
            </w:pPr>
            <w:r>
              <w:rPr>
                <w:rFonts w:ascii="Arial" w:cs="Arial" w:eastAsia="Arial" w:hAnsi="Arial"/>
                <w:sz w:val="20"/>
                <w:szCs w:val="20"/>
                <w:b w:val="1"/>
                <w:bCs w:val="1"/>
                <w:color w:val="231F20"/>
              </w:rPr>
              <w:t>Exhibit</w:t>
            </w:r>
          </w:p>
        </w:tc>
        <w:tc>
          <w:tcPr>
            <w:tcW w:w="10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20"/>
                <w:szCs w:val="20"/>
                <w:b w:val="1"/>
                <w:bCs w:val="1"/>
                <w:color w:val="231F20"/>
                <w:w w:val="99"/>
              </w:rPr>
              <w:t>Filing Date</w:t>
            </w:r>
          </w:p>
        </w:tc>
        <w:tc>
          <w:tcPr>
            <w:tcW w:w="0" w:type="dxa"/>
            <w:vAlign w:val="bottom"/>
          </w:tcPr>
          <w:p>
            <w:pPr>
              <w:spacing w:after="0"/>
              <w:rPr>
                <w:sz w:val="1"/>
                <w:szCs w:val="1"/>
                <w:color w:val="auto"/>
              </w:rPr>
            </w:pPr>
          </w:p>
        </w:tc>
      </w:tr>
      <w:tr>
        <w:trPr>
          <w:trHeight w:val="201"/>
        </w:trPr>
        <w:tc>
          <w:tcPr>
            <w:tcW w:w="980" w:type="dxa"/>
            <w:vAlign w:val="bottom"/>
            <w:tcBorders>
              <w:top w:val="single" w:sz="8" w:color="231F20"/>
            </w:tcBorders>
          </w:tcPr>
          <w:p>
            <w:pPr>
              <w:spacing w:after="0" w:line="201" w:lineRule="exact"/>
              <w:rPr>
                <w:sz w:val="20"/>
                <w:szCs w:val="20"/>
                <w:color w:val="auto"/>
              </w:rPr>
            </w:pPr>
            <w:r>
              <w:rPr>
                <w:rFonts w:ascii="Arial" w:cs="Arial" w:eastAsia="Arial" w:hAnsi="Arial"/>
                <w:sz w:val="20"/>
                <w:szCs w:val="20"/>
                <w:color w:val="231F20"/>
              </w:rPr>
              <w:t>3.1</w:t>
            </w:r>
          </w:p>
        </w:tc>
        <w:tc>
          <w:tcPr>
            <w:tcW w:w="100" w:type="dxa"/>
            <w:vAlign w:val="bottom"/>
          </w:tcPr>
          <w:p>
            <w:pPr>
              <w:spacing w:after="0"/>
              <w:rPr>
                <w:sz w:val="17"/>
                <w:szCs w:val="17"/>
                <w:color w:val="auto"/>
              </w:rPr>
            </w:pPr>
          </w:p>
        </w:tc>
        <w:tc>
          <w:tcPr>
            <w:tcW w:w="4800" w:type="dxa"/>
            <w:vAlign w:val="bottom"/>
            <w:tcBorders>
              <w:top w:val="single" w:sz="8" w:color="231F20"/>
            </w:tcBorders>
          </w:tcPr>
          <w:p>
            <w:pPr>
              <w:spacing w:after="0" w:line="201" w:lineRule="exact"/>
              <w:rPr>
                <w:sz w:val="20"/>
                <w:szCs w:val="20"/>
                <w:color w:val="auto"/>
              </w:rPr>
            </w:pPr>
            <w:r>
              <w:rPr>
                <w:rFonts w:ascii="Arial" w:cs="Arial" w:eastAsia="Arial" w:hAnsi="Arial"/>
                <w:sz w:val="20"/>
                <w:szCs w:val="20"/>
                <w:color w:val="231F20"/>
              </w:rPr>
              <w:t>Amended and Restated Certificate of Incorporation.</w:t>
            </w:r>
          </w:p>
        </w:tc>
        <w:tc>
          <w:tcPr>
            <w:tcW w:w="120" w:type="dxa"/>
            <w:vAlign w:val="bottom"/>
          </w:tcPr>
          <w:p>
            <w:pPr>
              <w:spacing w:after="0"/>
              <w:rPr>
                <w:sz w:val="17"/>
                <w:szCs w:val="17"/>
                <w:color w:val="auto"/>
              </w:rPr>
            </w:pPr>
          </w:p>
        </w:tc>
        <w:tc>
          <w:tcPr>
            <w:tcW w:w="60" w:type="dxa"/>
            <w:vAlign w:val="bottom"/>
            <w:tcBorders>
              <w:top w:val="single" w:sz="8" w:color="231F20"/>
            </w:tcBorders>
          </w:tcPr>
          <w:p>
            <w:pPr>
              <w:spacing w:after="0"/>
              <w:rPr>
                <w:sz w:val="17"/>
                <w:szCs w:val="17"/>
                <w:color w:val="auto"/>
              </w:rPr>
            </w:pPr>
          </w:p>
        </w:tc>
        <w:tc>
          <w:tcPr>
            <w:tcW w:w="600" w:type="dxa"/>
            <w:vAlign w:val="bottom"/>
            <w:tcBorders>
              <w:top w:val="single" w:sz="8" w:color="231F20"/>
            </w:tcBorders>
          </w:tcPr>
          <w:p>
            <w:pPr>
              <w:jc w:val="center"/>
              <w:spacing w:after="0" w:line="201" w:lineRule="exact"/>
              <w:rPr>
                <w:sz w:val="20"/>
                <w:szCs w:val="20"/>
                <w:color w:val="auto"/>
              </w:rPr>
            </w:pPr>
            <w:r>
              <w:rPr>
                <w:rFonts w:ascii="Arial" w:cs="Arial" w:eastAsia="Arial" w:hAnsi="Arial"/>
                <w:sz w:val="20"/>
                <w:szCs w:val="20"/>
                <w:color w:val="231F20"/>
                <w:w w:val="96"/>
              </w:rPr>
              <w:t>8-K</w:t>
            </w:r>
          </w:p>
        </w:tc>
        <w:tc>
          <w:tcPr>
            <w:tcW w:w="100" w:type="dxa"/>
            <w:vAlign w:val="bottom"/>
          </w:tcPr>
          <w:p>
            <w:pPr>
              <w:spacing w:after="0"/>
              <w:rPr>
                <w:sz w:val="17"/>
                <w:szCs w:val="17"/>
                <w:color w:val="auto"/>
              </w:rPr>
            </w:pPr>
          </w:p>
        </w:tc>
        <w:tc>
          <w:tcPr>
            <w:tcW w:w="1300" w:type="dxa"/>
            <w:vAlign w:val="bottom"/>
            <w:tcBorders>
              <w:top w:val="single" w:sz="8" w:color="231F20"/>
            </w:tcBorders>
          </w:tcPr>
          <w:p>
            <w:pPr>
              <w:jc w:val="center"/>
              <w:spacing w:after="0" w:line="201" w:lineRule="exact"/>
              <w:rPr>
                <w:sz w:val="20"/>
                <w:szCs w:val="20"/>
                <w:color w:val="auto"/>
              </w:rPr>
            </w:pPr>
            <w:r>
              <w:rPr>
                <w:rFonts w:ascii="Arial" w:cs="Arial" w:eastAsia="Arial" w:hAnsi="Arial"/>
                <w:sz w:val="20"/>
                <w:szCs w:val="20"/>
                <w:color w:val="231F20"/>
                <w:w w:val="98"/>
              </w:rPr>
              <w:t>001-41331</w:t>
            </w:r>
          </w:p>
        </w:tc>
        <w:tc>
          <w:tcPr>
            <w:tcW w:w="100" w:type="dxa"/>
            <w:vAlign w:val="bottom"/>
          </w:tcPr>
          <w:p>
            <w:pPr>
              <w:spacing w:after="0"/>
              <w:rPr>
                <w:sz w:val="17"/>
                <w:szCs w:val="17"/>
                <w:color w:val="auto"/>
              </w:rPr>
            </w:pPr>
          </w:p>
        </w:tc>
        <w:tc>
          <w:tcPr>
            <w:tcW w:w="980" w:type="dxa"/>
            <w:vAlign w:val="bottom"/>
            <w:tcBorders>
              <w:top w:val="single" w:sz="8" w:color="231F20"/>
            </w:tcBorders>
          </w:tcPr>
          <w:p>
            <w:pPr>
              <w:jc w:val="center"/>
              <w:spacing w:after="0" w:line="201" w:lineRule="exact"/>
              <w:rPr>
                <w:sz w:val="20"/>
                <w:szCs w:val="20"/>
                <w:color w:val="auto"/>
              </w:rPr>
            </w:pPr>
            <w:r>
              <w:rPr>
                <w:rFonts w:ascii="Arial" w:cs="Arial" w:eastAsia="Arial" w:hAnsi="Arial"/>
                <w:sz w:val="20"/>
                <w:szCs w:val="20"/>
                <w:color w:val="231F20"/>
                <w:w w:val="93"/>
              </w:rPr>
              <w:t>3.1</w:t>
            </w:r>
          </w:p>
        </w:tc>
        <w:tc>
          <w:tcPr>
            <w:tcW w:w="100" w:type="dxa"/>
            <w:vAlign w:val="bottom"/>
          </w:tcPr>
          <w:p>
            <w:pPr>
              <w:spacing w:after="0"/>
              <w:rPr>
                <w:sz w:val="17"/>
                <w:szCs w:val="17"/>
                <w:color w:val="auto"/>
              </w:rPr>
            </w:pPr>
          </w:p>
        </w:tc>
        <w:tc>
          <w:tcPr>
            <w:tcW w:w="1560" w:type="dxa"/>
            <w:vAlign w:val="bottom"/>
            <w:tcBorders>
              <w:top w:val="single" w:sz="8" w:color="231F20"/>
            </w:tcBorders>
          </w:tcPr>
          <w:p>
            <w:pPr>
              <w:jc w:val="center"/>
              <w:spacing w:after="0" w:line="201" w:lineRule="exact"/>
              <w:rPr>
                <w:sz w:val="20"/>
                <w:szCs w:val="20"/>
                <w:color w:val="auto"/>
              </w:rPr>
            </w:pPr>
            <w:r>
              <w:rPr>
                <w:rFonts w:ascii="Arial" w:cs="Arial" w:eastAsia="Arial" w:hAnsi="Arial"/>
                <w:sz w:val="20"/>
                <w:szCs w:val="20"/>
                <w:color w:val="231F20"/>
                <w:w w:val="98"/>
              </w:rPr>
              <w:t>June 24 2025</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3.2</w:t>
            </w: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Amended and Restated Bylaws.</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3"/>
              </w:rPr>
              <w:t>3.4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4,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3.3</w:t>
            </w: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Certificate of Designations of Series A Junior</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8-K</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ind w:left="20"/>
              <w:spacing w:after="0"/>
              <w:rPr>
                <w:sz w:val="20"/>
                <w:szCs w:val="20"/>
                <w:color w:val="auto"/>
              </w:rPr>
            </w:pPr>
            <w:r>
              <w:rPr>
                <w:rFonts w:ascii="Arial" w:cs="Arial" w:eastAsia="Arial" w:hAnsi="Arial"/>
                <w:sz w:val="20"/>
                <w:szCs w:val="20"/>
                <w:color w:val="231F20"/>
              </w:rPr>
              <w:t>3.1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August 19, 2024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Participating Preferred Stock of AN2 Therapeutics,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Inc. filed with the Secretary of State of the State of</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Delaware on August 15, 2024.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4.1</w:t>
            </w: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Form of Common Stock Certificate.</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3"/>
              </w:rPr>
              <w:t>4.1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21,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4.2</w:t>
            </w: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Amended and Restated Investors’ Rights Agreement,</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ind w:left="20"/>
              <w:spacing w:after="0"/>
              <w:rPr>
                <w:sz w:val="20"/>
                <w:szCs w:val="20"/>
                <w:color w:val="auto"/>
              </w:rPr>
            </w:pPr>
            <w:r>
              <w:rPr>
                <w:rFonts w:ascii="Arial" w:cs="Arial" w:eastAsia="Arial" w:hAnsi="Arial"/>
                <w:sz w:val="20"/>
                <w:szCs w:val="20"/>
                <w:color w:val="231F20"/>
              </w:rPr>
              <w:t>4.2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4,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by and among the Registrant and certain of its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stockholders, dated March 5, 2021.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4.3*</w:t>
            </w: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Description of Securities.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4.4</w:t>
            </w: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Form of Pre-Funded Warrant.</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8-K</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ind w:left="20"/>
              <w:spacing w:after="0"/>
              <w:rPr>
                <w:sz w:val="20"/>
                <w:szCs w:val="20"/>
                <w:color w:val="auto"/>
              </w:rPr>
            </w:pPr>
            <w:r>
              <w:rPr>
                <w:rFonts w:ascii="Arial" w:cs="Arial" w:eastAsia="Arial" w:hAnsi="Arial"/>
                <w:sz w:val="20"/>
                <w:szCs w:val="20"/>
                <w:color w:val="231F20"/>
              </w:rPr>
              <w:t>4.1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June 20, 2025</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4.5</w:t>
            </w: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Form of 2026 Pre-Funded Warrant.</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8-K</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3"/>
              </w:rPr>
              <w:t>4.1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10, 2026</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10.1#</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AN2 Therapeutics, Inc. 2017 Equity Incentive Plan, as</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10.1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4,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amended.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10.2#</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Forms of Stock Option Grant Notice, Stock Option</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10.2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4,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Agreement and Notice of Exercise and Early Exercise</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Stock Purchase Agreement under the AN2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Therapeutics, Inc. 2017 Equity Incentive Plan.</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10.3#</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AN2 Therapeutics, Inc. 2022 Equity Incentive Plan</w:t>
            </w:r>
          </w:p>
        </w:tc>
        <w:tc>
          <w:tcPr>
            <w:tcW w:w="600" w:type="dxa"/>
            <w:vAlign w:val="bottom"/>
          </w:tcPr>
          <w:p>
            <w:pPr>
              <w:jc w:val="center"/>
              <w:spacing w:after="0"/>
              <w:rPr>
                <w:sz w:val="20"/>
                <w:szCs w:val="20"/>
                <w:color w:val="auto"/>
              </w:rPr>
            </w:pPr>
            <w:r>
              <w:rPr>
                <w:rFonts w:ascii="Arial" w:cs="Arial" w:eastAsia="Arial" w:hAnsi="Arial"/>
                <w:sz w:val="20"/>
                <w:szCs w:val="20"/>
                <w:color w:val="231F20"/>
                <w:w w:val="99"/>
              </w:rPr>
              <w:t>10-K</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10.3</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29, 2024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10.4#</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Forms of Stock Option Grant Notice, Stock Option</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10.4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4,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Agreement and Notice of Exercise under the AN2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Therapeutics, Inc. 2022 Equity Incentive Plan.</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10.5#</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Form of Restricted Stock Unit Grant Notice and Award</w:t>
            </w:r>
          </w:p>
        </w:tc>
        <w:tc>
          <w:tcPr>
            <w:tcW w:w="600" w:type="dxa"/>
            <w:vAlign w:val="bottom"/>
          </w:tcPr>
          <w:p>
            <w:pPr>
              <w:jc w:val="center"/>
              <w:spacing w:after="0"/>
              <w:rPr>
                <w:sz w:val="20"/>
                <w:szCs w:val="20"/>
                <w:color w:val="auto"/>
              </w:rPr>
            </w:pPr>
            <w:r>
              <w:rPr>
                <w:rFonts w:ascii="Arial" w:cs="Arial" w:eastAsia="Arial" w:hAnsi="Arial"/>
                <w:sz w:val="20"/>
                <w:szCs w:val="20"/>
                <w:color w:val="231F20"/>
                <w:w w:val="99"/>
              </w:rPr>
              <w:t>10-K</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10.5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29, 2024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Agreement under the AN2 Therapeutics, Inc. 2022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Equity Incentive Plan.</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10.6#</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AN2 Therapeutics, Inc 2022 Employee Stock</w:t>
            </w:r>
          </w:p>
        </w:tc>
        <w:tc>
          <w:tcPr>
            <w:tcW w:w="600" w:type="dxa"/>
            <w:vAlign w:val="bottom"/>
          </w:tcPr>
          <w:p>
            <w:pPr>
              <w:jc w:val="center"/>
              <w:spacing w:after="0"/>
              <w:rPr>
                <w:sz w:val="20"/>
                <w:szCs w:val="20"/>
                <w:color w:val="auto"/>
              </w:rPr>
            </w:pPr>
            <w:r>
              <w:rPr>
                <w:rFonts w:ascii="Arial" w:cs="Arial" w:eastAsia="Arial" w:hAnsi="Arial"/>
                <w:sz w:val="20"/>
                <w:szCs w:val="20"/>
                <w:color w:val="231F20"/>
                <w:w w:val="99"/>
              </w:rPr>
              <w:t>10-K</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10.6</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29, 2024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Purchase Plan.</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10.7#</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AN2 Therapeutics, Inc. Amended and Restated 2022</w:t>
            </w:r>
          </w:p>
        </w:tc>
        <w:tc>
          <w:tcPr>
            <w:tcW w:w="600" w:type="dxa"/>
            <w:vAlign w:val="bottom"/>
          </w:tcPr>
          <w:p>
            <w:pPr>
              <w:jc w:val="center"/>
              <w:spacing w:after="0"/>
              <w:rPr>
                <w:sz w:val="20"/>
                <w:szCs w:val="20"/>
                <w:color w:val="auto"/>
              </w:rPr>
            </w:pPr>
            <w:r>
              <w:rPr>
                <w:rFonts w:ascii="Arial" w:cs="Arial" w:eastAsia="Arial" w:hAnsi="Arial"/>
                <w:sz w:val="20"/>
                <w:szCs w:val="20"/>
                <w:color w:val="231F20"/>
              </w:rPr>
              <w:t>10-Q</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10.1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August 12, 2025</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Non-Employee Director Compensation Policy.</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10.8#</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AN2 Therapeutics, Inc. Officer Severance Plan.</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10.8</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4,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10.9#</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Form of Indemnity Agreement by and between the</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10.9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4,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Registrant and its directors and executive officers.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10.10#</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Offer Letter by and between the Registrant and Eric</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9"/>
              </w:rPr>
              <w:t>10.10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4,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Easom, dated November 19, 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10.11#*</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Amended and Restated Offer Letter by and between</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the Registrant and Lucy Day, dated January 29, 2026.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10.12‡</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License Agreement by and between the Registrant</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9"/>
              </w:rPr>
              <w:t>10.13</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4,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and Anacor Pharmaceuticals, Inc., dated November</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20, 2019, as amended on December 3, 2021.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10.13‡</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License Agreement by and between the Registrant</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9"/>
              </w:rPr>
              <w:t>10.14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4,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and Brii Biosciences Limited, dated November 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900" w:type="dxa"/>
            <w:vAlign w:val="bottom"/>
            <w:gridSpan w:val="2"/>
          </w:tcPr>
          <w:p>
            <w:pPr>
              <w:ind w:left="100"/>
              <w:spacing w:after="0"/>
              <w:rPr>
                <w:sz w:val="20"/>
                <w:szCs w:val="20"/>
                <w:color w:val="auto"/>
              </w:rPr>
            </w:pPr>
            <w:r>
              <w:rPr>
                <w:rFonts w:ascii="Arial" w:cs="Arial" w:eastAsia="Arial" w:hAnsi="Arial"/>
                <w:sz w:val="20"/>
                <w:szCs w:val="20"/>
                <w:color w:val="231F20"/>
              </w:rPr>
              <w:t>2019.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10.14</w:t>
            </w:r>
          </w:p>
        </w:tc>
        <w:tc>
          <w:tcPr>
            <w:tcW w:w="5080" w:type="dxa"/>
            <w:vAlign w:val="bottom"/>
            <w:gridSpan w:val="4"/>
          </w:tcPr>
          <w:p>
            <w:pPr>
              <w:ind w:left="100"/>
              <w:spacing w:after="0"/>
              <w:rPr>
                <w:sz w:val="20"/>
                <w:szCs w:val="20"/>
                <w:color w:val="auto"/>
              </w:rPr>
            </w:pPr>
            <w:r>
              <w:rPr>
                <w:rFonts w:ascii="Arial" w:cs="Arial" w:eastAsia="Arial" w:hAnsi="Arial"/>
                <w:sz w:val="20"/>
                <w:szCs w:val="20"/>
                <w:color w:val="231F20"/>
              </w:rPr>
              <w:t>Amended and Restated Global Health Agreement by</w:t>
            </w:r>
          </w:p>
        </w:tc>
        <w:tc>
          <w:tcPr>
            <w:tcW w:w="600" w:type="dxa"/>
            <w:vAlign w:val="bottom"/>
          </w:tcPr>
          <w:p>
            <w:pPr>
              <w:jc w:val="center"/>
              <w:spacing w:after="0"/>
              <w:rPr>
                <w:sz w:val="20"/>
                <w:szCs w:val="20"/>
                <w:color w:val="auto"/>
              </w:rPr>
            </w:pPr>
            <w:r>
              <w:rPr>
                <w:rFonts w:ascii="Arial" w:cs="Arial" w:eastAsia="Arial" w:hAnsi="Arial"/>
                <w:sz w:val="20"/>
                <w:szCs w:val="20"/>
                <w:color w:val="231F20"/>
                <w:w w:val="96"/>
              </w:rPr>
              <w:t>S-1</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9"/>
              </w:rPr>
              <w:t>333-263295</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9"/>
              </w:rPr>
              <w:t>10.15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4,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and among the Registrant, Adjuvant Global Health</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Technology Fund L.P., and Adjuvant Global Health</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gridSpan w:val="3"/>
          </w:tcPr>
          <w:p>
            <w:pPr>
              <w:spacing w:after="0"/>
              <w:rPr>
                <w:sz w:val="20"/>
                <w:szCs w:val="20"/>
                <w:color w:val="auto"/>
              </w:rPr>
            </w:pPr>
            <w:r>
              <w:rPr>
                <w:rFonts w:ascii="Arial" w:cs="Arial" w:eastAsia="Arial" w:hAnsi="Arial"/>
                <w:sz w:val="20"/>
                <w:szCs w:val="20"/>
                <w:color w:val="231F20"/>
              </w:rPr>
              <w:t>Technology Fund DE L.P., dated March 5, 2021.</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10800"/>
          </w:cols>
          <w:pgMar w:left="540" w:top="746" w:right="540"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53"/>
        </w:trPr>
        <w:tc>
          <w:tcPr>
            <w:tcW w:w="980" w:type="dxa"/>
            <w:vAlign w:val="bottom"/>
            <w:vMerge w:val="restart"/>
          </w:tcPr>
          <w:p>
            <w:pPr>
              <w:ind w:left="160"/>
              <w:spacing w:after="0"/>
              <w:rPr>
                <w:sz w:val="20"/>
                <w:szCs w:val="20"/>
                <w:color w:val="auto"/>
              </w:rPr>
            </w:pPr>
            <w:r>
              <w:rPr>
                <w:rFonts w:ascii="Arial" w:cs="Arial" w:eastAsia="Arial" w:hAnsi="Arial"/>
                <w:sz w:val="20"/>
                <w:szCs w:val="20"/>
                <w:b w:val="1"/>
                <w:bCs w:val="1"/>
                <w:color w:val="231F20"/>
              </w:rPr>
              <w:t>Exhibit</w:t>
            </w:r>
          </w:p>
        </w:tc>
        <w:tc>
          <w:tcPr>
            <w:tcW w:w="10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231F20"/>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4040" w:type="dxa"/>
            <w:vAlign w:val="bottom"/>
            <w:tcBorders>
              <w:bottom w:val="single" w:sz="8" w:color="231F20"/>
            </w:tcBorders>
            <w:gridSpan w:val="5"/>
          </w:tcPr>
          <w:p>
            <w:pPr>
              <w:ind w:left="380"/>
              <w:spacing w:after="0"/>
              <w:rPr>
                <w:sz w:val="20"/>
                <w:szCs w:val="20"/>
                <w:color w:val="auto"/>
              </w:rPr>
            </w:pPr>
            <w:r>
              <w:rPr>
                <w:rFonts w:ascii="Arial" w:cs="Arial" w:eastAsia="Arial" w:hAnsi="Arial"/>
                <w:sz w:val="20"/>
                <w:szCs w:val="20"/>
                <w:b w:val="1"/>
                <w:bCs w:val="1"/>
                <w:color w:val="231F20"/>
              </w:rPr>
              <w:t>Incorporated by Reference</w:t>
            </w:r>
          </w:p>
        </w:tc>
        <w:tc>
          <w:tcPr>
            <w:tcW w:w="0" w:type="dxa"/>
            <w:vAlign w:val="bottom"/>
          </w:tcPr>
          <w:p>
            <w:pPr>
              <w:spacing w:after="0"/>
              <w:rPr>
                <w:sz w:val="1"/>
                <w:szCs w:val="1"/>
                <w:color w:val="auto"/>
              </w:rPr>
            </w:pPr>
          </w:p>
        </w:tc>
      </w:tr>
      <w:tr>
        <w:trPr>
          <w:trHeight w:val="197"/>
        </w:trPr>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80" w:type="dxa"/>
            <w:vAlign w:val="bottom"/>
            <w:tcBorders>
              <w:bottom w:val="single" w:sz="8" w:color="231F20"/>
            </w:tcBorders>
          </w:tcPr>
          <w:p>
            <w:pPr>
              <w:ind w:left="100"/>
              <w:spacing w:after="0"/>
              <w:rPr>
                <w:sz w:val="20"/>
                <w:szCs w:val="20"/>
                <w:color w:val="auto"/>
              </w:rPr>
            </w:pPr>
            <w:r>
              <w:rPr>
                <w:rFonts w:ascii="Arial" w:cs="Arial" w:eastAsia="Arial" w:hAnsi="Arial"/>
                <w:sz w:val="20"/>
                <w:szCs w:val="20"/>
                <w:b w:val="1"/>
                <w:bCs w:val="1"/>
                <w:color w:val="231F20"/>
              </w:rPr>
              <w:t>Number</w:t>
            </w:r>
          </w:p>
        </w:tc>
        <w:tc>
          <w:tcPr>
            <w:tcW w:w="100" w:type="dxa"/>
            <w:vAlign w:val="bottom"/>
          </w:tcPr>
          <w:p>
            <w:pPr>
              <w:spacing w:after="0"/>
              <w:rPr>
                <w:sz w:val="22"/>
                <w:szCs w:val="22"/>
                <w:color w:val="auto"/>
              </w:rPr>
            </w:pPr>
          </w:p>
        </w:tc>
        <w:tc>
          <w:tcPr>
            <w:tcW w:w="4800" w:type="dxa"/>
            <w:vAlign w:val="bottom"/>
            <w:tcBorders>
              <w:bottom w:val="single" w:sz="8" w:color="231F20"/>
            </w:tcBorders>
          </w:tcPr>
          <w:p>
            <w:pPr>
              <w:ind w:left="1860"/>
              <w:spacing w:after="0"/>
              <w:rPr>
                <w:sz w:val="20"/>
                <w:szCs w:val="20"/>
                <w:color w:val="auto"/>
              </w:rPr>
            </w:pPr>
            <w:r>
              <w:rPr>
                <w:rFonts w:ascii="Arial" w:cs="Arial" w:eastAsia="Arial" w:hAnsi="Arial"/>
                <w:sz w:val="20"/>
                <w:szCs w:val="20"/>
                <w:b w:val="1"/>
                <w:bCs w:val="1"/>
                <w:color w:val="231F20"/>
              </w:rPr>
              <w:t>Description</w:t>
            </w:r>
          </w:p>
        </w:tc>
        <w:tc>
          <w:tcPr>
            <w:tcW w:w="120" w:type="dxa"/>
            <w:vAlign w:val="bottom"/>
          </w:tcPr>
          <w:p>
            <w:pPr>
              <w:spacing w:after="0"/>
              <w:rPr>
                <w:sz w:val="22"/>
                <w:szCs w:val="22"/>
                <w:color w:val="auto"/>
              </w:rPr>
            </w:pPr>
          </w:p>
        </w:tc>
        <w:tc>
          <w:tcPr>
            <w:tcW w:w="6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b w:val="1"/>
                <w:bCs w:val="1"/>
                <w:color w:val="231F20"/>
                <w:w w:val="99"/>
              </w:rPr>
              <w:t>Form</w:t>
            </w:r>
          </w:p>
        </w:tc>
        <w:tc>
          <w:tcPr>
            <w:tcW w:w="100" w:type="dxa"/>
            <w:vAlign w:val="bottom"/>
          </w:tcPr>
          <w:p>
            <w:pPr>
              <w:spacing w:after="0"/>
              <w:rPr>
                <w:sz w:val="22"/>
                <w:szCs w:val="22"/>
                <w:color w:val="auto"/>
              </w:rPr>
            </w:pPr>
          </w:p>
        </w:tc>
        <w:tc>
          <w:tcPr>
            <w:tcW w:w="1300" w:type="dxa"/>
            <w:vAlign w:val="bottom"/>
            <w:tcBorders>
              <w:bottom w:val="single" w:sz="8" w:color="231F20"/>
            </w:tcBorders>
          </w:tcPr>
          <w:p>
            <w:pPr>
              <w:jc w:val="center"/>
              <w:spacing w:after="0"/>
              <w:rPr>
                <w:sz w:val="20"/>
                <w:szCs w:val="20"/>
                <w:color w:val="auto"/>
              </w:rPr>
            </w:pPr>
            <w:r>
              <w:rPr>
                <w:rFonts w:ascii="Arial" w:cs="Arial" w:eastAsia="Arial" w:hAnsi="Arial"/>
                <w:sz w:val="20"/>
                <w:szCs w:val="20"/>
                <w:b w:val="1"/>
                <w:bCs w:val="1"/>
                <w:color w:val="231F20"/>
              </w:rPr>
              <w:t>File No.</w:t>
            </w:r>
          </w:p>
        </w:tc>
        <w:tc>
          <w:tcPr>
            <w:tcW w:w="100" w:type="dxa"/>
            <w:vAlign w:val="bottom"/>
          </w:tcPr>
          <w:p>
            <w:pPr>
              <w:spacing w:after="0"/>
              <w:rPr>
                <w:sz w:val="22"/>
                <w:szCs w:val="22"/>
                <w:color w:val="auto"/>
              </w:rPr>
            </w:pPr>
          </w:p>
        </w:tc>
        <w:tc>
          <w:tcPr>
            <w:tcW w:w="980" w:type="dxa"/>
            <w:vAlign w:val="bottom"/>
            <w:tcBorders>
              <w:bottom w:val="single" w:sz="8" w:color="231F20"/>
            </w:tcBorders>
          </w:tcPr>
          <w:p>
            <w:pPr>
              <w:ind w:left="160"/>
              <w:spacing w:after="0"/>
              <w:rPr>
                <w:sz w:val="20"/>
                <w:szCs w:val="20"/>
                <w:color w:val="auto"/>
              </w:rPr>
            </w:pPr>
            <w:r>
              <w:rPr>
                <w:rFonts w:ascii="Arial" w:cs="Arial" w:eastAsia="Arial" w:hAnsi="Arial"/>
                <w:sz w:val="20"/>
                <w:szCs w:val="20"/>
                <w:b w:val="1"/>
                <w:bCs w:val="1"/>
                <w:color w:val="231F20"/>
              </w:rPr>
              <w:t>Exhibit</w:t>
            </w:r>
          </w:p>
        </w:tc>
        <w:tc>
          <w:tcPr>
            <w:tcW w:w="100" w:type="dxa"/>
            <w:vAlign w:val="bottom"/>
          </w:tcPr>
          <w:p>
            <w:pPr>
              <w:spacing w:after="0"/>
              <w:rPr>
                <w:sz w:val="22"/>
                <w:szCs w:val="22"/>
                <w:color w:val="auto"/>
              </w:rPr>
            </w:pPr>
          </w:p>
        </w:tc>
        <w:tc>
          <w:tcPr>
            <w:tcW w:w="15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b w:val="1"/>
                <w:bCs w:val="1"/>
                <w:color w:val="231F20"/>
                <w:w w:val="99"/>
              </w:rPr>
              <w:t>Filing Date</w:t>
            </w:r>
          </w:p>
        </w:tc>
        <w:tc>
          <w:tcPr>
            <w:tcW w:w="0" w:type="dxa"/>
            <w:vAlign w:val="bottom"/>
          </w:tcPr>
          <w:p>
            <w:pPr>
              <w:spacing w:after="0"/>
              <w:rPr>
                <w:sz w:val="1"/>
                <w:szCs w:val="1"/>
                <w:color w:val="auto"/>
              </w:rPr>
            </w:pPr>
          </w:p>
        </w:tc>
      </w:tr>
      <w:tr>
        <w:trPr>
          <w:trHeight w:val="201"/>
        </w:trPr>
        <w:tc>
          <w:tcPr>
            <w:tcW w:w="980" w:type="dxa"/>
            <w:vAlign w:val="bottom"/>
          </w:tcPr>
          <w:p>
            <w:pPr>
              <w:spacing w:after="0" w:line="201" w:lineRule="exact"/>
              <w:rPr>
                <w:sz w:val="20"/>
                <w:szCs w:val="20"/>
                <w:color w:val="auto"/>
              </w:rPr>
            </w:pPr>
            <w:r>
              <w:rPr>
                <w:rFonts w:ascii="Arial" w:cs="Arial" w:eastAsia="Arial" w:hAnsi="Arial"/>
                <w:sz w:val="20"/>
                <w:szCs w:val="20"/>
                <w:color w:val="231F20"/>
              </w:rPr>
              <w:t>10.15#</w:t>
            </w:r>
          </w:p>
        </w:tc>
        <w:tc>
          <w:tcPr>
            <w:tcW w:w="10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20"/>
                <w:szCs w:val="20"/>
                <w:color w:val="231F20"/>
              </w:rPr>
              <w:t>Offer Letter by and between the Registrant and</w:t>
            </w:r>
          </w:p>
        </w:tc>
        <w:tc>
          <w:tcPr>
            <w:tcW w:w="12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20"/>
                <w:szCs w:val="20"/>
                <w:color w:val="231F20"/>
              </w:rPr>
              <w:t>10-Q</w:t>
            </w:r>
          </w:p>
        </w:tc>
        <w:tc>
          <w:tcPr>
            <w:tcW w:w="100" w:type="dxa"/>
            <w:vAlign w:val="bottom"/>
          </w:tcPr>
          <w:p>
            <w:pPr>
              <w:spacing w:after="0"/>
              <w:rPr>
                <w:sz w:val="17"/>
                <w:szCs w:val="17"/>
                <w:color w:val="auto"/>
              </w:rPr>
            </w:pPr>
          </w:p>
        </w:tc>
        <w:tc>
          <w:tcPr>
            <w:tcW w:w="1300" w:type="dxa"/>
            <w:vAlign w:val="bottom"/>
          </w:tcPr>
          <w:p>
            <w:pPr>
              <w:jc w:val="center"/>
              <w:spacing w:after="0" w:line="201" w:lineRule="exact"/>
              <w:rPr>
                <w:sz w:val="20"/>
                <w:szCs w:val="20"/>
                <w:color w:val="auto"/>
              </w:rPr>
            </w:pPr>
            <w:r>
              <w:rPr>
                <w:rFonts w:ascii="Arial" w:cs="Arial" w:eastAsia="Arial" w:hAnsi="Arial"/>
                <w:sz w:val="20"/>
                <w:szCs w:val="20"/>
                <w:color w:val="231F20"/>
                <w:w w:val="98"/>
              </w:rPr>
              <w:t>001-41331</w:t>
            </w:r>
          </w:p>
        </w:tc>
        <w:tc>
          <w:tcPr>
            <w:tcW w:w="100" w:type="dxa"/>
            <w:vAlign w:val="bottom"/>
          </w:tcPr>
          <w:p>
            <w:pPr>
              <w:spacing w:after="0"/>
              <w:rPr>
                <w:sz w:val="17"/>
                <w:szCs w:val="17"/>
                <w:color w:val="auto"/>
              </w:rPr>
            </w:pPr>
          </w:p>
        </w:tc>
        <w:tc>
          <w:tcPr>
            <w:tcW w:w="980" w:type="dxa"/>
            <w:vAlign w:val="bottom"/>
          </w:tcPr>
          <w:p>
            <w:pPr>
              <w:jc w:val="center"/>
              <w:spacing w:after="0" w:line="201" w:lineRule="exact"/>
              <w:rPr>
                <w:sz w:val="20"/>
                <w:szCs w:val="20"/>
                <w:color w:val="auto"/>
              </w:rPr>
            </w:pPr>
            <w:r>
              <w:rPr>
                <w:rFonts w:ascii="Arial" w:cs="Arial" w:eastAsia="Arial" w:hAnsi="Arial"/>
                <w:sz w:val="20"/>
                <w:szCs w:val="20"/>
                <w:color w:val="231F20"/>
                <w:w w:val="97"/>
              </w:rPr>
              <w:t>10.1</w:t>
            </w:r>
          </w:p>
        </w:tc>
        <w:tc>
          <w:tcPr>
            <w:tcW w:w="10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20"/>
                <w:szCs w:val="20"/>
                <w:color w:val="231F20"/>
                <w:w w:val="99"/>
              </w:rPr>
              <w:t>November 9,</w:t>
            </w:r>
          </w:p>
        </w:tc>
        <w:tc>
          <w:tcPr>
            <w:tcW w:w="0" w:type="dxa"/>
            <w:vAlign w:val="bottom"/>
          </w:tcPr>
          <w:p>
            <w:pPr>
              <w:spacing w:after="0"/>
              <w:rPr>
                <w:sz w:val="1"/>
                <w:szCs w:val="1"/>
                <w:color w:val="auto"/>
              </w:rPr>
            </w:pPr>
          </w:p>
        </w:tc>
      </w:tr>
      <w:tr>
        <w:trPr>
          <w:trHeight w:val="230"/>
        </w:trPr>
        <w:tc>
          <w:tcPr>
            <w:tcW w:w="980" w:type="dxa"/>
            <w:vAlign w:val="bottom"/>
            <w:vMerge w:val="restart"/>
          </w:tcPr>
          <w:p>
            <w:pPr>
              <w:spacing w:after="0"/>
              <w:rPr>
                <w:sz w:val="20"/>
                <w:szCs w:val="20"/>
                <w:color w:val="auto"/>
              </w:rPr>
            </w:pPr>
            <w:r>
              <w:rPr>
                <w:rFonts w:ascii="Arial" w:cs="Arial" w:eastAsia="Arial" w:hAnsi="Arial"/>
                <w:sz w:val="20"/>
                <w:szCs w:val="20"/>
                <w:color w:val="231F20"/>
              </w:rPr>
              <w:t>10.16</w:t>
            </w:r>
            <w:r>
              <w:rPr>
                <w:rFonts w:ascii="Arial" w:cs="Arial" w:eastAsia="Arial" w:hAnsi="Arial"/>
                <w:sz w:val="16"/>
                <w:szCs w:val="16"/>
                <w:color w:val="231F20"/>
              </w:rPr>
              <w:t>‡</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Joshua Eizen, dated September 19, 2022.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gridSpan w:val="2"/>
          </w:tcPr>
          <w:p>
            <w:pPr>
              <w:jc w:val="center"/>
              <w:spacing w:after="0"/>
              <w:rPr>
                <w:sz w:val="20"/>
                <w:szCs w:val="20"/>
                <w:color w:val="auto"/>
              </w:rPr>
            </w:pPr>
            <w:r>
              <w:rPr>
                <w:rFonts w:ascii="Arial" w:cs="Arial" w:eastAsia="Arial" w:hAnsi="Arial"/>
                <w:sz w:val="20"/>
                <w:szCs w:val="20"/>
                <w:color w:val="231F20"/>
                <w:w w:val="98"/>
              </w:rPr>
              <w:t>2022</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Exclusive Patent License Agreement, dated October</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231F20"/>
                <w:w w:val="99"/>
              </w:rPr>
              <w:t>10-K</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9"/>
              </w:rPr>
              <w:t>10.18</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25, 2025</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10, 2023, by and between the Registrant and the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University of Georgia Research Foundation, Inc</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10.17</w:t>
            </w:r>
          </w:p>
        </w:tc>
        <w:tc>
          <w:tcPr>
            <w:tcW w:w="4900" w:type="dxa"/>
            <w:vAlign w:val="bottom"/>
            <w:gridSpan w:val="2"/>
          </w:tcPr>
          <w:p>
            <w:pPr>
              <w:ind w:left="100"/>
              <w:spacing w:after="0"/>
              <w:rPr>
                <w:sz w:val="20"/>
                <w:szCs w:val="20"/>
                <w:color w:val="auto"/>
              </w:rPr>
            </w:pPr>
            <w:r>
              <w:rPr>
                <w:rFonts w:ascii="Arial" w:cs="Arial" w:eastAsia="Arial" w:hAnsi="Arial"/>
                <w:sz w:val="20"/>
                <w:szCs w:val="20"/>
                <w:color w:val="231F20"/>
              </w:rPr>
              <w:t>Securities Purchase Agreement, dated March 8,</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231F20"/>
                <w:w w:val="96"/>
              </w:rPr>
              <w:t>8-K</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10.1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10, 2026</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2026, by and among AN2 Therapeutics, Inc. and the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Purchasers.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10.18</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Registration Rights Agreement, dated March 10,</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231F20"/>
                <w:w w:val="96"/>
              </w:rPr>
              <w:t>8-K</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10.2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10, 2026</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2025, by and among AN2 Therapeutics, Inc. and the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investors party thereto.</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19.1</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AN2 Therapeutics, Inc. 2022 Insider Trading Policy</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231F20"/>
                <w:w w:val="99"/>
              </w:rPr>
              <w:t>10-K</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19.1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25, 2025</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23.1*</w:t>
            </w:r>
          </w:p>
        </w:tc>
        <w:tc>
          <w:tcPr>
            <w:tcW w:w="4900" w:type="dxa"/>
            <w:vAlign w:val="bottom"/>
            <w:gridSpan w:val="2"/>
          </w:tcPr>
          <w:p>
            <w:pPr>
              <w:ind w:left="100"/>
              <w:spacing w:after="0"/>
              <w:rPr>
                <w:sz w:val="20"/>
                <w:szCs w:val="20"/>
                <w:color w:val="auto"/>
              </w:rPr>
            </w:pPr>
            <w:r>
              <w:rPr>
                <w:rFonts w:ascii="Arial" w:cs="Arial" w:eastAsia="Arial" w:hAnsi="Arial"/>
                <w:sz w:val="20"/>
                <w:szCs w:val="20"/>
                <w:color w:val="231F20"/>
              </w:rPr>
              <w:t>Consent of PricewaterhouseCoopers LLP,</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independent registered public accounting firm.</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24.1*</w:t>
            </w:r>
          </w:p>
        </w:tc>
        <w:tc>
          <w:tcPr>
            <w:tcW w:w="4900" w:type="dxa"/>
            <w:vAlign w:val="bottom"/>
            <w:gridSpan w:val="2"/>
          </w:tcPr>
          <w:p>
            <w:pPr>
              <w:ind w:left="100"/>
              <w:spacing w:after="0"/>
              <w:rPr>
                <w:sz w:val="20"/>
                <w:szCs w:val="20"/>
                <w:color w:val="auto"/>
              </w:rPr>
            </w:pPr>
            <w:r>
              <w:rPr>
                <w:rFonts w:ascii="Arial" w:cs="Arial" w:eastAsia="Arial" w:hAnsi="Arial"/>
                <w:sz w:val="20"/>
                <w:szCs w:val="20"/>
                <w:color w:val="231F20"/>
              </w:rPr>
              <w:t>Power of Attorney (incorporated by reference to the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vMerge w:val="restart"/>
          </w:tcPr>
          <w:p>
            <w:pPr>
              <w:spacing w:after="0"/>
              <w:rPr>
                <w:sz w:val="20"/>
                <w:szCs w:val="20"/>
                <w:color w:val="auto"/>
              </w:rPr>
            </w:pPr>
            <w:r>
              <w:rPr>
                <w:rFonts w:ascii="Arial" w:cs="Arial" w:eastAsia="Arial" w:hAnsi="Arial"/>
                <w:sz w:val="20"/>
                <w:szCs w:val="20"/>
                <w:color w:val="231F20"/>
              </w:rPr>
              <w:t>31.1*</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signature page to this Annual Report on Form 10-K.)</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Certification of Principal Executive Officer Pursuant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w w:val="99"/>
              </w:rPr>
              <w:t>to Rules 13a-14(a) and 15d-14(a) under the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Exchange Act of 1934, as Adopted Pursuant to</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Section 302 of the Sarbanes-Oxley Act of 2002.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31.2*</w:t>
            </w:r>
          </w:p>
        </w:tc>
        <w:tc>
          <w:tcPr>
            <w:tcW w:w="4900" w:type="dxa"/>
            <w:vAlign w:val="bottom"/>
            <w:gridSpan w:val="2"/>
          </w:tcPr>
          <w:p>
            <w:pPr>
              <w:ind w:left="100"/>
              <w:spacing w:after="0"/>
              <w:rPr>
                <w:sz w:val="20"/>
                <w:szCs w:val="20"/>
                <w:color w:val="auto"/>
              </w:rPr>
            </w:pPr>
            <w:r>
              <w:rPr>
                <w:rFonts w:ascii="Arial" w:cs="Arial" w:eastAsia="Arial" w:hAnsi="Arial"/>
                <w:sz w:val="20"/>
                <w:szCs w:val="20"/>
                <w:color w:val="231F20"/>
              </w:rPr>
              <w:t>Certification of Principal Financial Officer Pursuant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w w:val="99"/>
              </w:rPr>
              <w:t>to Rules 13a-14(a) and 15d-14(a) under the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Exchange Act of 1934, as Adopted Pursuant to</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Section 302 of the Sarbanes-Oxley Act of 2002.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32.1*†</w:t>
            </w:r>
          </w:p>
        </w:tc>
        <w:tc>
          <w:tcPr>
            <w:tcW w:w="4900" w:type="dxa"/>
            <w:vAlign w:val="bottom"/>
            <w:gridSpan w:val="2"/>
          </w:tcPr>
          <w:p>
            <w:pPr>
              <w:ind w:left="100"/>
              <w:spacing w:after="0"/>
              <w:rPr>
                <w:sz w:val="20"/>
                <w:szCs w:val="20"/>
                <w:color w:val="auto"/>
              </w:rPr>
            </w:pPr>
            <w:r>
              <w:rPr>
                <w:rFonts w:ascii="Arial" w:cs="Arial" w:eastAsia="Arial" w:hAnsi="Arial"/>
                <w:sz w:val="20"/>
                <w:szCs w:val="20"/>
                <w:color w:val="231F20"/>
              </w:rPr>
              <w:t>Certification of Principal Executive Officer Pursuant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to 18 U.S.C. Section 1350, as Adopted Pursuant to</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Section 906 of the Sarbanes-Oxley Act of 2002.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32.2*†</w:t>
            </w:r>
          </w:p>
        </w:tc>
        <w:tc>
          <w:tcPr>
            <w:tcW w:w="4900" w:type="dxa"/>
            <w:vAlign w:val="bottom"/>
            <w:gridSpan w:val="2"/>
          </w:tcPr>
          <w:p>
            <w:pPr>
              <w:ind w:left="100"/>
              <w:spacing w:after="0"/>
              <w:rPr>
                <w:sz w:val="20"/>
                <w:szCs w:val="20"/>
                <w:color w:val="auto"/>
              </w:rPr>
            </w:pPr>
            <w:r>
              <w:rPr>
                <w:rFonts w:ascii="Arial" w:cs="Arial" w:eastAsia="Arial" w:hAnsi="Arial"/>
                <w:sz w:val="20"/>
                <w:szCs w:val="20"/>
                <w:color w:val="231F20"/>
              </w:rPr>
              <w:t>Certification of Principal Financial Officer Pursuant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to 18 U.S.C. Section 1350, as Adopted Pursuant to</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Section 906 of the Sarbanes-Oxley Act of 2002.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97.1</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Compensation Recovery Policy.</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231F20"/>
                <w:w w:val="99"/>
              </w:rPr>
              <w:t>10-K</w:t>
            </w:r>
          </w:p>
        </w:tc>
        <w:tc>
          <w:tcPr>
            <w:tcW w:w="1400" w:type="dxa"/>
            <w:vAlign w:val="bottom"/>
            <w:gridSpan w:val="2"/>
          </w:tcPr>
          <w:p>
            <w:pPr>
              <w:jc w:val="center"/>
              <w:spacing w:after="0"/>
              <w:rPr>
                <w:sz w:val="20"/>
                <w:szCs w:val="20"/>
                <w:color w:val="auto"/>
              </w:rPr>
            </w:pPr>
            <w:r>
              <w:rPr>
                <w:rFonts w:ascii="Arial" w:cs="Arial" w:eastAsia="Arial" w:hAnsi="Arial"/>
                <w:sz w:val="20"/>
                <w:szCs w:val="20"/>
                <w:color w:val="231F20"/>
                <w:w w:val="98"/>
              </w:rPr>
              <w:t>001-41331</w:t>
            </w:r>
          </w:p>
        </w:tc>
        <w:tc>
          <w:tcPr>
            <w:tcW w:w="1080" w:type="dxa"/>
            <w:vAlign w:val="bottom"/>
            <w:gridSpan w:val="2"/>
          </w:tcPr>
          <w:p>
            <w:pPr>
              <w:jc w:val="center"/>
              <w:spacing w:after="0"/>
              <w:rPr>
                <w:sz w:val="20"/>
                <w:szCs w:val="20"/>
                <w:color w:val="auto"/>
              </w:rPr>
            </w:pPr>
            <w:r>
              <w:rPr>
                <w:rFonts w:ascii="Arial" w:cs="Arial" w:eastAsia="Arial" w:hAnsi="Arial"/>
                <w:sz w:val="20"/>
                <w:szCs w:val="20"/>
                <w:color w:val="231F20"/>
                <w:w w:val="97"/>
              </w:rPr>
              <w:t>97.1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231F20"/>
              </w:rPr>
              <w:t>March 29, 2024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101.INS</w:t>
            </w:r>
          </w:p>
        </w:tc>
        <w:tc>
          <w:tcPr>
            <w:tcW w:w="4900" w:type="dxa"/>
            <w:vAlign w:val="bottom"/>
            <w:gridSpan w:val="2"/>
          </w:tcPr>
          <w:p>
            <w:pPr>
              <w:ind w:left="100"/>
              <w:spacing w:after="0"/>
              <w:rPr>
                <w:sz w:val="20"/>
                <w:szCs w:val="20"/>
                <w:color w:val="auto"/>
              </w:rPr>
            </w:pPr>
            <w:r>
              <w:rPr>
                <w:rFonts w:ascii="Arial" w:cs="Arial" w:eastAsia="Arial" w:hAnsi="Arial"/>
                <w:sz w:val="20"/>
                <w:szCs w:val="20"/>
                <w:color w:val="231F20"/>
              </w:rPr>
              <w:t>Inline XBRL Instance Document – the instance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document does not appear in the Interactive Data File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because XBRL tags are embedded within the Inline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XBRL document.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231F20"/>
              </w:rPr>
              <w:t>101.SCH</w:t>
            </w:r>
          </w:p>
        </w:tc>
        <w:tc>
          <w:tcPr>
            <w:tcW w:w="4900" w:type="dxa"/>
            <w:vAlign w:val="bottom"/>
            <w:gridSpan w:val="2"/>
          </w:tcPr>
          <w:p>
            <w:pPr>
              <w:ind w:left="100"/>
              <w:spacing w:after="0"/>
              <w:rPr>
                <w:sz w:val="20"/>
                <w:szCs w:val="20"/>
                <w:color w:val="auto"/>
              </w:rPr>
            </w:pPr>
            <w:r>
              <w:rPr>
                <w:rFonts w:ascii="Arial" w:cs="Arial" w:eastAsia="Arial" w:hAnsi="Arial"/>
                <w:sz w:val="20"/>
                <w:szCs w:val="20"/>
                <w:color w:val="231F20"/>
              </w:rPr>
              <w:t>Inline XBRL Taxonomy Extension Schema With</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Arial" w:cs="Arial" w:eastAsia="Arial" w:hAnsi="Arial"/>
                <w:sz w:val="20"/>
                <w:szCs w:val="20"/>
                <w:color w:val="231F20"/>
              </w:rPr>
              <w:t>Embedded Linkbase Documents**</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1080" w:right="5200" w:hanging="1080"/>
        <w:spacing w:after="0" w:line="255" w:lineRule="auto"/>
        <w:tabs>
          <w:tab w:leader="none" w:pos="1080"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Cover Page Interactive Data File (embedded within the Inline XBRL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80645</wp:posOffset>
                </wp:positionV>
                <wp:extent cx="9144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5pt" to="72pt,6.35pt" o:allowincell="f" strokecolor="#231F20" strokeweight="0.5pt"/>
            </w:pict>
          </mc:Fallback>
        </mc:AlternateConten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231F20"/>
        </w:rPr>
        <w:t>* Filed herewith.</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231F20"/>
        </w:rPr>
        <w:t># Indicates management contract or compensatory plan.</w:t>
      </w:r>
    </w:p>
    <w:p>
      <w:pPr>
        <w:spacing w:after="0" w:line="120" w:lineRule="exact"/>
        <w:rPr>
          <w:sz w:val="20"/>
          <w:szCs w:val="20"/>
          <w:color w:val="auto"/>
        </w:rPr>
      </w:pPr>
    </w:p>
    <w:p>
      <w:pPr>
        <w:ind w:right="220"/>
        <w:spacing w:after="0" w:line="280" w:lineRule="auto"/>
        <w:tabs>
          <w:tab w:leader="none" w:pos="133" w:val="left"/>
        </w:tabs>
        <w:numPr>
          <w:ilvl w:val="0"/>
          <w:numId w:val="52"/>
        </w:numPr>
        <w:rPr>
          <w:rFonts w:ascii="Arial" w:cs="Arial" w:eastAsia="Arial" w:hAnsi="Arial"/>
          <w:sz w:val="16"/>
          <w:szCs w:val="16"/>
          <w:color w:val="231F20"/>
        </w:rPr>
      </w:pPr>
      <w:r>
        <w:rPr>
          <w:rFonts w:ascii="Arial" w:cs="Arial" w:eastAsia="Arial" w:hAnsi="Arial"/>
          <w:sz w:val="16"/>
          <w:szCs w:val="16"/>
          <w:color w:val="231F20"/>
        </w:rPr>
        <w:t>Portions of this exhibit (indicated by [*]) have been omitted because the registrant has determined that the information is both not material and is the type that the registrant treats as private or confidential.</w:t>
      </w:r>
    </w:p>
    <w:p>
      <w:pPr>
        <w:spacing w:after="0" w:line="59" w:lineRule="exact"/>
        <w:rPr>
          <w:sz w:val="20"/>
          <w:szCs w:val="20"/>
          <w:color w:val="auto"/>
        </w:rPr>
      </w:pPr>
    </w:p>
    <w:p>
      <w:pPr>
        <w:ind w:right="240"/>
        <w:spacing w:after="0" w:line="253" w:lineRule="auto"/>
        <w:tabs>
          <w:tab w:leader="none" w:pos="169" w:val="left"/>
        </w:tabs>
        <w:numPr>
          <w:ilvl w:val="0"/>
          <w:numId w:val="53"/>
        </w:numPr>
        <w:rPr>
          <w:rFonts w:ascii="Arial" w:cs="Arial" w:eastAsia="Arial" w:hAnsi="Arial"/>
          <w:sz w:val="16"/>
          <w:szCs w:val="16"/>
          <w:color w:val="231F20"/>
        </w:rPr>
      </w:pPr>
      <w:r>
        <w:rPr>
          <w:rFonts w:ascii="Arial" w:cs="Arial" w:eastAsia="Arial" w:hAnsi="Arial"/>
          <w:sz w:val="16"/>
          <w:szCs w:val="16"/>
          <w:color w:val="231F20"/>
        </w:rPr>
        <w:t>The following materials are formatted in Inline XBRL (Extensible Business Reporting Language): (i) the cover page; (ii) the Balance Sheets as of December 31, 2025 and 2024; (iii) the Statements of Operations and Comprehensive Loss for the years ended December 31, 2025 and 2024; (iv) the Statements of Stockholders’ Equity for the years ended December 31, 2025 and 2024; (vi) the Statements of Cash Flows for the years ended December 31, 2025 and 2024; (vii) Notes to Financial Statements tagged as blocks of text.</w:t>
      </w:r>
    </w:p>
    <w:p>
      <w:pPr>
        <w:spacing w:after="0" w:line="98" w:lineRule="exact"/>
        <w:rPr>
          <w:sz w:val="20"/>
          <w:szCs w:val="20"/>
          <w:color w:val="auto"/>
        </w:rPr>
      </w:pPr>
    </w:p>
    <w:p>
      <w:pPr>
        <w:jc w:val="both"/>
        <w:ind w:right="220"/>
        <w:spacing w:after="0" w:line="253" w:lineRule="auto"/>
        <w:tabs>
          <w:tab w:leader="none" w:pos="133" w:val="left"/>
        </w:tabs>
        <w:numPr>
          <w:ilvl w:val="0"/>
          <w:numId w:val="54"/>
        </w:numPr>
        <w:rPr>
          <w:rFonts w:ascii="Arial" w:cs="Arial" w:eastAsia="Arial" w:hAnsi="Arial"/>
          <w:sz w:val="16"/>
          <w:szCs w:val="16"/>
          <w:color w:val="231F20"/>
        </w:rPr>
      </w:pPr>
      <w:r>
        <w:rPr>
          <w:rFonts w:ascii="Arial" w:cs="Arial" w:eastAsia="Arial" w:hAnsi="Arial"/>
          <w:sz w:val="16"/>
          <w:szCs w:val="16"/>
          <w:color w:val="231F20"/>
        </w:rPr>
        <w:t>The certification attached as Exhibit 32.1 and Exhibit 32.2 that accompany this Annual Report is not deemed filed with the Securities and Exchange Commission and is not to be incorporated by reference into any filing of the Company under the Securities Act of 1933, as amended, or the Securities Exchange Act of 1934, as amended, whether made before or after the date of this Annual Report, irrespective of any general incorporation language contained in such filing.</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10800"/>
          </w:cols>
          <w:pgMar w:left="540" w:top="746" w:right="540" w:bottom="0" w:gutter="0" w:footer="0" w:header="0"/>
          <w:type w:val="continuous"/>
        </w:sectPr>
      </w:pPr>
    </w:p>
    <w:bookmarkStart w:id="89" w:name="page90"/>
    <w:bookmarkEnd w:id="89"/>
    <w:p>
      <w:pPr>
        <w:jc w:val="center"/>
        <w:ind w:right="-59"/>
        <w:spacing w:after="0"/>
        <w:rPr>
          <w:sz w:val="20"/>
          <w:szCs w:val="20"/>
          <w:color w:val="auto"/>
        </w:rPr>
      </w:pPr>
      <w:r>
        <w:rPr>
          <w:rFonts w:ascii="Arial" w:cs="Arial" w:eastAsia="Arial" w:hAnsi="Arial"/>
          <w:sz w:val="20"/>
          <w:szCs w:val="20"/>
          <w:b w:val="1"/>
          <w:bCs w:val="1"/>
          <w:color w:val="231F20"/>
        </w:rPr>
        <w:t>SIGNATURES</w:t>
      </w:r>
    </w:p>
    <w:p>
      <w:pPr>
        <w:spacing w:after="0" w:line="124" w:lineRule="exact"/>
        <w:rPr>
          <w:sz w:val="20"/>
          <w:szCs w:val="20"/>
          <w:color w:val="auto"/>
        </w:rPr>
      </w:pPr>
    </w:p>
    <w:p>
      <w:pPr>
        <w:ind w:right="20" w:firstLine="490"/>
        <w:spacing w:after="0" w:line="266" w:lineRule="auto"/>
        <w:rPr>
          <w:sz w:val="20"/>
          <w:szCs w:val="20"/>
          <w:color w:val="auto"/>
        </w:rPr>
      </w:pPr>
      <w:r>
        <w:rPr>
          <w:rFonts w:ascii="Arial" w:cs="Arial" w:eastAsia="Arial" w:hAnsi="Arial"/>
          <w:sz w:val="20"/>
          <w:szCs w:val="20"/>
          <w:color w:val="231F20"/>
        </w:rPr>
        <w:t>Pursuant to the requirements of Section 13 or 15(d) of the Securities Exchange Act of 1934, as amended, the Registrant has duly caused this Report to be signed on its behalf by the undersigned, thereunto duly authorized on March 17, 2026</w:t>
      </w:r>
      <w:r>
        <w:rPr>
          <w:rFonts w:ascii="Arial" w:cs="Arial" w:eastAsia="Arial" w:hAnsi="Arial"/>
          <w:sz w:val="20"/>
          <w:szCs w:val="20"/>
          <w:b w:val="1"/>
          <w:bCs w:val="1"/>
          <w:color w:val="231F20"/>
        </w:rPr>
        <w:t>.</w:t>
      </w:r>
    </w:p>
    <w:p>
      <w:pPr>
        <w:spacing w:after="0" w:line="201" w:lineRule="exact"/>
        <w:rPr>
          <w:sz w:val="20"/>
          <w:szCs w:val="20"/>
          <w:color w:val="auto"/>
        </w:rPr>
      </w:pPr>
    </w:p>
    <w:p>
      <w:pPr>
        <w:ind w:left="5500"/>
        <w:spacing w:after="0"/>
        <w:rPr>
          <w:sz w:val="20"/>
          <w:szCs w:val="20"/>
          <w:color w:val="auto"/>
        </w:rPr>
      </w:pPr>
      <w:r>
        <w:rPr>
          <w:rFonts w:ascii="Arial" w:cs="Arial" w:eastAsia="Arial" w:hAnsi="Arial"/>
          <w:sz w:val="20"/>
          <w:szCs w:val="20"/>
          <w:color w:val="231F20"/>
        </w:rPr>
        <w:t>AN2 Therapeutics, Inc.</w:t>
      </w:r>
    </w:p>
    <w:p>
      <w:pPr>
        <w:spacing w:after="0" w:line="230" w:lineRule="exact"/>
        <w:rPr>
          <w:sz w:val="20"/>
          <w:szCs w:val="20"/>
          <w:color w:val="auto"/>
        </w:rPr>
      </w:pPr>
    </w:p>
    <w:p>
      <w:pPr>
        <w:ind w:left="5840"/>
        <w:spacing w:after="0"/>
        <w:tabs>
          <w:tab w:leader="none" w:pos="7860" w:val="left"/>
        </w:tabs>
        <w:rPr>
          <w:sz w:val="20"/>
          <w:szCs w:val="20"/>
          <w:color w:val="auto"/>
        </w:rPr>
      </w:pPr>
      <w:r>
        <w:rPr>
          <w:rFonts w:ascii="Arial" w:cs="Arial" w:eastAsia="Arial" w:hAnsi="Arial"/>
          <w:sz w:val="20"/>
          <w:szCs w:val="20"/>
          <w:color w:val="231F20"/>
        </w:rPr>
        <w:t>By:</w:t>
      </w:r>
      <w:r>
        <w:rPr>
          <w:sz w:val="20"/>
          <w:szCs w:val="20"/>
          <w:color w:val="auto"/>
        </w:rPr>
        <w:tab/>
      </w:r>
      <w:r>
        <w:rPr>
          <w:rFonts w:ascii="Arial" w:cs="Arial" w:eastAsia="Arial" w:hAnsi="Arial"/>
          <w:sz w:val="20"/>
          <w:szCs w:val="20"/>
          <w:color w:val="231F20"/>
        </w:rPr>
        <w:t>/s/ Eric Easom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3977640</wp:posOffset>
                </wp:positionH>
                <wp:positionV relativeFrom="paragraph">
                  <wp:posOffset>15240</wp:posOffset>
                </wp:positionV>
                <wp:extent cx="288036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36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2pt,1.2pt" to="540pt,1.2pt" o:allowincell="f" strokecolor="#231F20" strokeweight="0.5pt"/>
            </w:pict>
          </mc:Fallback>
        </mc:AlternateContent>
      </w:r>
    </w:p>
    <w:p>
      <w:pPr>
        <w:spacing w:after="0" w:line="16" w:lineRule="exact"/>
        <w:rPr>
          <w:sz w:val="20"/>
          <w:szCs w:val="20"/>
          <w:color w:val="auto"/>
        </w:rPr>
      </w:pPr>
    </w:p>
    <w:p>
      <w:pPr>
        <w:jc w:val="center"/>
        <w:ind w:left="6260"/>
        <w:spacing w:after="0"/>
        <w:rPr>
          <w:sz w:val="20"/>
          <w:szCs w:val="20"/>
          <w:color w:val="auto"/>
        </w:rPr>
      </w:pPr>
      <w:r>
        <w:rPr>
          <w:rFonts w:ascii="Arial" w:cs="Arial" w:eastAsia="Arial" w:hAnsi="Arial"/>
          <w:sz w:val="20"/>
          <w:szCs w:val="20"/>
          <w:b w:val="1"/>
          <w:bCs w:val="1"/>
          <w:color w:val="231F20"/>
        </w:rPr>
        <w:t>Eric Easom</w:t>
      </w:r>
    </w:p>
    <w:p>
      <w:pPr>
        <w:jc w:val="center"/>
        <w:ind w:left="6260"/>
        <w:spacing w:after="0"/>
        <w:rPr>
          <w:sz w:val="20"/>
          <w:szCs w:val="20"/>
          <w:color w:val="auto"/>
        </w:rPr>
      </w:pPr>
      <w:r>
        <w:rPr>
          <w:rFonts w:ascii="Arial" w:cs="Arial" w:eastAsia="Arial" w:hAnsi="Arial"/>
          <w:sz w:val="20"/>
          <w:szCs w:val="20"/>
          <w:b w:val="1"/>
          <w:bCs w:val="1"/>
          <w:color w:val="231F20"/>
        </w:rPr>
        <w:t>Chief Executive Officer</w:t>
      </w:r>
    </w:p>
    <w:p>
      <w:pPr>
        <w:jc w:val="center"/>
        <w:ind w:left="6260"/>
        <w:spacing w:after="0"/>
        <w:rPr>
          <w:sz w:val="20"/>
          <w:szCs w:val="20"/>
          <w:color w:val="auto"/>
        </w:rPr>
      </w:pPr>
      <w:r>
        <w:rPr>
          <w:rFonts w:ascii="Arial" w:cs="Arial" w:eastAsia="Arial" w:hAnsi="Arial"/>
          <w:sz w:val="20"/>
          <w:szCs w:val="20"/>
          <w:b w:val="1"/>
          <w:bCs w:val="1"/>
          <w:i w:val="1"/>
          <w:iCs w:val="1"/>
          <w:color w:val="231F20"/>
        </w:rPr>
        <w:t>(Principal Executive Officer)</w:t>
      </w:r>
    </w:p>
    <w:p>
      <w:pPr>
        <w:spacing w:after="0" w:line="204" w:lineRule="exact"/>
        <w:rPr>
          <w:sz w:val="20"/>
          <w:szCs w:val="20"/>
          <w:color w:val="auto"/>
        </w:rPr>
      </w:pPr>
    </w:p>
    <w:p>
      <w:pPr>
        <w:ind w:left="5840"/>
        <w:spacing w:after="0"/>
        <w:tabs>
          <w:tab w:leader="none" w:pos="7820" w:val="left"/>
        </w:tabs>
        <w:rPr>
          <w:sz w:val="20"/>
          <w:szCs w:val="20"/>
          <w:color w:val="auto"/>
        </w:rPr>
      </w:pPr>
      <w:r>
        <w:rPr>
          <w:rFonts w:ascii="Arial" w:cs="Arial" w:eastAsia="Arial" w:hAnsi="Arial"/>
          <w:sz w:val="20"/>
          <w:szCs w:val="20"/>
          <w:color w:val="231F20"/>
        </w:rPr>
        <w:t>By:</w:t>
      </w:r>
      <w:r>
        <w:rPr>
          <w:sz w:val="20"/>
          <w:szCs w:val="20"/>
          <w:color w:val="auto"/>
        </w:rPr>
        <w:tab/>
      </w:r>
      <w:r>
        <w:rPr>
          <w:rFonts w:ascii="Arial" w:cs="Arial" w:eastAsia="Arial" w:hAnsi="Arial"/>
          <w:sz w:val="20"/>
          <w:szCs w:val="20"/>
          <w:color w:val="231F20"/>
        </w:rPr>
        <w:t>/s/ Lucy O. Day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3977640</wp:posOffset>
                </wp:positionH>
                <wp:positionV relativeFrom="paragraph">
                  <wp:posOffset>15240</wp:posOffset>
                </wp:positionV>
                <wp:extent cx="288036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36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2pt,1.2pt" to="540pt,1.2pt" o:allowincell="f" strokecolor="#231F20" strokeweight="0.5pt"/>
            </w:pict>
          </mc:Fallback>
        </mc:AlternateContent>
      </w:r>
    </w:p>
    <w:p>
      <w:pPr>
        <w:spacing w:after="0" w:line="16" w:lineRule="exact"/>
        <w:rPr>
          <w:sz w:val="20"/>
          <w:szCs w:val="20"/>
          <w:color w:val="auto"/>
        </w:rPr>
      </w:pPr>
    </w:p>
    <w:p>
      <w:pPr>
        <w:jc w:val="center"/>
        <w:ind w:left="6260"/>
        <w:spacing w:after="0"/>
        <w:rPr>
          <w:sz w:val="20"/>
          <w:szCs w:val="20"/>
          <w:color w:val="auto"/>
        </w:rPr>
      </w:pPr>
      <w:r>
        <w:rPr>
          <w:rFonts w:ascii="Arial" w:cs="Arial" w:eastAsia="Arial" w:hAnsi="Arial"/>
          <w:sz w:val="20"/>
          <w:szCs w:val="20"/>
          <w:b w:val="1"/>
          <w:bCs w:val="1"/>
          <w:color w:val="231F20"/>
        </w:rPr>
        <w:t>Lucy O. Day</w:t>
      </w:r>
    </w:p>
    <w:p>
      <w:pPr>
        <w:jc w:val="center"/>
        <w:ind w:left="6260"/>
        <w:spacing w:after="0"/>
        <w:rPr>
          <w:sz w:val="20"/>
          <w:szCs w:val="20"/>
          <w:color w:val="auto"/>
        </w:rPr>
      </w:pPr>
      <w:r>
        <w:rPr>
          <w:rFonts w:ascii="Arial" w:cs="Arial" w:eastAsia="Arial" w:hAnsi="Arial"/>
          <w:sz w:val="20"/>
          <w:szCs w:val="20"/>
          <w:b w:val="1"/>
          <w:bCs w:val="1"/>
          <w:color w:val="231F20"/>
        </w:rPr>
        <w:t>Chief Financial Officer</w:t>
      </w:r>
    </w:p>
    <w:p>
      <w:pPr>
        <w:jc w:val="center"/>
        <w:ind w:left="6260"/>
        <w:spacing w:after="0"/>
        <w:rPr>
          <w:sz w:val="20"/>
          <w:szCs w:val="20"/>
          <w:color w:val="auto"/>
        </w:rPr>
      </w:pPr>
      <w:r>
        <w:rPr>
          <w:rFonts w:ascii="Arial" w:cs="Arial" w:eastAsia="Arial" w:hAnsi="Arial"/>
          <w:sz w:val="20"/>
          <w:szCs w:val="20"/>
          <w:b w:val="1"/>
          <w:bCs w:val="1"/>
          <w:i w:val="1"/>
          <w:iCs w:val="1"/>
          <w:color w:val="231F20"/>
        </w:rPr>
        <w:t>(Principal Financial Officer)</w:t>
      </w:r>
    </w:p>
    <w:p>
      <w:pPr>
        <w:spacing w:after="0" w:line="204" w:lineRule="exact"/>
        <w:rPr>
          <w:sz w:val="20"/>
          <w:szCs w:val="20"/>
          <w:color w:val="auto"/>
        </w:rPr>
      </w:pPr>
    </w:p>
    <w:p>
      <w:pPr>
        <w:ind w:left="5840"/>
        <w:spacing w:after="0"/>
        <w:tabs>
          <w:tab w:leader="none" w:pos="7720" w:val="left"/>
        </w:tabs>
        <w:rPr>
          <w:sz w:val="20"/>
          <w:szCs w:val="20"/>
          <w:color w:val="auto"/>
        </w:rPr>
      </w:pPr>
      <w:r>
        <w:rPr>
          <w:rFonts w:ascii="Arial" w:cs="Arial" w:eastAsia="Arial" w:hAnsi="Arial"/>
          <w:sz w:val="20"/>
          <w:szCs w:val="20"/>
          <w:color w:val="231F20"/>
        </w:rPr>
        <w:t>By:</w:t>
      </w:r>
      <w:r>
        <w:rPr>
          <w:sz w:val="20"/>
          <w:szCs w:val="20"/>
          <w:color w:val="auto"/>
        </w:rPr>
        <w:tab/>
      </w:r>
      <w:r>
        <w:rPr>
          <w:rFonts w:ascii="Arial" w:cs="Arial" w:eastAsia="Arial" w:hAnsi="Arial"/>
          <w:sz w:val="20"/>
          <w:szCs w:val="20"/>
          <w:color w:val="231F20"/>
        </w:rPr>
        <w:t>/s/ Sarah Williams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3977640</wp:posOffset>
                </wp:positionH>
                <wp:positionV relativeFrom="paragraph">
                  <wp:posOffset>15240</wp:posOffset>
                </wp:positionV>
                <wp:extent cx="288036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36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2pt,1.2pt" to="540pt,1.2pt" o:allowincell="f" strokecolor="#231F20" strokeweight="0.5pt"/>
            </w:pict>
          </mc:Fallback>
        </mc:AlternateContent>
      </w:r>
    </w:p>
    <w:p>
      <w:pPr>
        <w:spacing w:after="0" w:line="16" w:lineRule="exact"/>
        <w:rPr>
          <w:sz w:val="20"/>
          <w:szCs w:val="20"/>
          <w:color w:val="auto"/>
        </w:rPr>
      </w:pPr>
    </w:p>
    <w:p>
      <w:pPr>
        <w:jc w:val="center"/>
        <w:ind w:left="6260"/>
        <w:spacing w:after="0"/>
        <w:rPr>
          <w:sz w:val="20"/>
          <w:szCs w:val="20"/>
          <w:color w:val="auto"/>
        </w:rPr>
      </w:pPr>
      <w:r>
        <w:rPr>
          <w:rFonts w:ascii="Arial" w:cs="Arial" w:eastAsia="Arial" w:hAnsi="Arial"/>
          <w:sz w:val="20"/>
          <w:szCs w:val="20"/>
          <w:b w:val="1"/>
          <w:bCs w:val="1"/>
          <w:color w:val="231F20"/>
        </w:rPr>
        <w:t>Sarah Williams</w:t>
      </w:r>
    </w:p>
    <w:p>
      <w:pPr>
        <w:jc w:val="center"/>
        <w:ind w:left="6260"/>
        <w:spacing w:after="0"/>
        <w:rPr>
          <w:sz w:val="20"/>
          <w:szCs w:val="20"/>
          <w:color w:val="auto"/>
        </w:rPr>
      </w:pPr>
      <w:r>
        <w:rPr>
          <w:rFonts w:ascii="Arial" w:cs="Arial" w:eastAsia="Arial" w:hAnsi="Arial"/>
          <w:sz w:val="20"/>
          <w:szCs w:val="20"/>
          <w:b w:val="1"/>
          <w:bCs w:val="1"/>
          <w:color w:val="231F20"/>
        </w:rPr>
        <w:t>Principal Accounting Officer</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231F20"/>
        </w:rPr>
        <w:t>POWER OF ATTORNEY</w:t>
      </w:r>
    </w:p>
    <w:p>
      <w:pPr>
        <w:spacing w:after="0" w:line="135"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231F20"/>
        </w:rPr>
        <w:t>KNOW ALL PERSONS BY THESE PRESENTS, that each person whose signature appears below constitutes and appoints Eric Easom and Lucy O. Day,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11" w:lineRule="exact"/>
        <w:rPr>
          <w:sz w:val="20"/>
          <w:szCs w:val="20"/>
          <w:color w:val="auto"/>
        </w:rPr>
      </w:pPr>
    </w:p>
    <w:p>
      <w:pPr>
        <w:ind w:right="360" w:firstLine="490"/>
        <w:spacing w:after="0" w:line="282" w:lineRule="auto"/>
        <w:rPr>
          <w:sz w:val="20"/>
          <w:szCs w:val="20"/>
          <w:color w:val="auto"/>
        </w:rPr>
      </w:pPr>
      <w:r>
        <w:rPr>
          <w:rFonts w:ascii="Arial" w:cs="Arial" w:eastAsia="Arial" w:hAnsi="Arial"/>
          <w:sz w:val="20"/>
          <w:szCs w:val="20"/>
          <w:color w:val="231F20"/>
        </w:rPr>
        <w:t>Pursuant to the requirements of the Securities Exchange Act of 1934, as amended, this Report has been signed below by the following persons on behalf of the Registrant in the capacities and on the dates indicated.</w:t>
      </w:r>
    </w:p>
    <w:p>
      <w:pPr>
        <w:spacing w:after="0" w:line="211" w:lineRule="exact"/>
        <w:rPr>
          <w:sz w:val="20"/>
          <w:szCs w:val="20"/>
          <w:color w:val="auto"/>
        </w:rPr>
      </w:pPr>
    </w:p>
    <w:p>
      <w:pPr>
        <w:ind w:left="1400"/>
        <w:spacing w:after="0"/>
        <w:tabs>
          <w:tab w:leader="none" w:pos="5820" w:val="left"/>
          <w:tab w:leader="none" w:pos="9440" w:val="left"/>
        </w:tabs>
        <w:rPr>
          <w:sz w:val="20"/>
          <w:szCs w:val="20"/>
          <w:color w:val="auto"/>
        </w:rPr>
      </w:pPr>
      <w:r>
        <w:rPr>
          <w:rFonts w:ascii="Arial" w:cs="Arial" w:eastAsia="Arial" w:hAnsi="Arial"/>
          <w:sz w:val="16"/>
          <w:szCs w:val="16"/>
          <w:b w:val="1"/>
          <w:bCs w:val="1"/>
          <w:color w:val="231F20"/>
        </w:rPr>
        <w:t>Signature</w:t>
      </w:r>
      <w:r>
        <w:rPr>
          <w:sz w:val="20"/>
          <w:szCs w:val="20"/>
          <w:color w:val="auto"/>
        </w:rPr>
        <w:tab/>
      </w:r>
      <w:r>
        <w:rPr>
          <w:rFonts w:ascii="Arial" w:cs="Arial" w:eastAsia="Arial" w:hAnsi="Arial"/>
          <w:sz w:val="16"/>
          <w:szCs w:val="16"/>
          <w:b w:val="1"/>
          <w:bCs w:val="1"/>
          <w:color w:val="231F20"/>
        </w:rPr>
        <w:t>Title</w:t>
      </w:r>
      <w:r>
        <w:rPr>
          <w:sz w:val="20"/>
          <w:szCs w:val="20"/>
          <w:color w:val="auto"/>
        </w:rPr>
        <w:tab/>
      </w:r>
      <w:r>
        <w:rPr>
          <w:rFonts w:ascii="Arial" w:cs="Arial" w:eastAsia="Arial" w:hAnsi="Arial"/>
          <w:sz w:val="15"/>
          <w:szCs w:val="15"/>
          <w:b w:val="1"/>
          <w:bCs w:val="1"/>
          <w:color w:val="231F20"/>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226377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3775"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178.25pt,1.05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2334895</wp:posOffset>
                </wp:positionH>
                <wp:positionV relativeFrom="paragraph">
                  <wp:posOffset>13335</wp:posOffset>
                </wp:positionV>
                <wp:extent cx="296926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926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85pt,1.05pt" to="417.65pt,1.05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5375275</wp:posOffset>
                </wp:positionH>
                <wp:positionV relativeFrom="paragraph">
                  <wp:posOffset>13335</wp:posOffset>
                </wp:positionV>
                <wp:extent cx="148272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725"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25pt,1.05pt" to="540pt,1.05pt" o:allowincell="f" strokecolor="#231F20" strokeweight="0.25pt"/>
            </w:pict>
          </mc:Fallback>
        </mc:AlternateConten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20"/>
                <w:szCs w:val="20"/>
                <w:color w:val="231F20"/>
              </w:rPr>
              <w:t>Chief Executive Officer, Chair and Director</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color w:val="231F20"/>
                <w:w w:val="99"/>
              </w:rPr>
              <w:t>/s/ Eric Easom</w:t>
            </w:r>
          </w:p>
        </w:tc>
        <w:tc>
          <w:tcPr>
            <w:tcW w:w="4860" w:type="dxa"/>
            <w:vAlign w:val="bottom"/>
          </w:tcPr>
          <w:p>
            <w:pPr>
              <w:jc w:val="center"/>
              <w:spacing w:after="0"/>
              <w:rPr>
                <w:sz w:val="20"/>
                <w:szCs w:val="20"/>
                <w:color w:val="auto"/>
              </w:rPr>
            </w:pPr>
            <w:r>
              <w:rPr>
                <w:rFonts w:ascii="Arial" w:cs="Arial" w:eastAsia="Arial" w:hAnsi="Arial"/>
                <w:sz w:val="20"/>
                <w:szCs w:val="20"/>
                <w:color w:val="231F20"/>
                <w:w w:val="99"/>
              </w:rPr>
              <w:t>(Principal Executive Officer)</w:t>
            </w:r>
          </w:p>
        </w:tc>
        <w:tc>
          <w:tcPr>
            <w:tcW w:w="1900" w:type="dxa"/>
            <w:vAlign w:val="bottom"/>
          </w:tcPr>
          <w:p>
            <w:pPr>
              <w:ind w:left="500"/>
              <w:spacing w:after="0"/>
              <w:rPr>
                <w:sz w:val="20"/>
                <w:szCs w:val="20"/>
                <w:color w:val="auto"/>
              </w:rPr>
            </w:pPr>
            <w:r>
              <w:rPr>
                <w:rFonts w:ascii="Arial" w:cs="Arial" w:eastAsia="Arial" w:hAnsi="Arial"/>
                <w:sz w:val="20"/>
                <w:szCs w:val="20"/>
                <w:color w:val="231F20"/>
                <w:w w:val="99"/>
              </w:rPr>
              <w:t>March 17, 2026</w:t>
            </w:r>
          </w:p>
        </w:tc>
        <w:tc>
          <w:tcPr>
            <w:tcW w:w="0" w:type="dxa"/>
            <w:vAlign w:val="bottom"/>
          </w:tcPr>
          <w:p>
            <w:pPr>
              <w:spacing w:after="0"/>
              <w:rPr>
                <w:sz w:val="1"/>
                <w:szCs w:val="1"/>
                <w:color w:val="auto"/>
              </w:rPr>
            </w:pPr>
          </w:p>
        </w:tc>
      </w:tr>
      <w:tr>
        <w:trPr>
          <w:trHeight w:val="214"/>
        </w:trPr>
        <w:tc>
          <w:tcPr>
            <w:tcW w:w="3560" w:type="dxa"/>
            <w:vAlign w:val="bottom"/>
          </w:tcPr>
          <w:p>
            <w:pPr>
              <w:jc w:val="center"/>
              <w:spacing w:after="0"/>
              <w:rPr>
                <w:sz w:val="20"/>
                <w:szCs w:val="20"/>
                <w:color w:val="auto"/>
              </w:rPr>
            </w:pPr>
            <w:r>
              <w:rPr>
                <w:rFonts w:ascii="Arial" w:cs="Arial" w:eastAsia="Arial" w:hAnsi="Arial"/>
                <w:sz w:val="16"/>
                <w:szCs w:val="16"/>
                <w:b w:val="1"/>
                <w:bCs w:val="1"/>
                <w:color w:val="231F20"/>
              </w:rPr>
              <w:t>Eric Easom</w:t>
            </w:r>
          </w:p>
        </w:tc>
        <w:tc>
          <w:tcPr>
            <w:tcW w:w="4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56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20"/>
                <w:szCs w:val="20"/>
                <w:color w:val="231F20"/>
              </w:rPr>
              <w:t>Chief Financial Officer</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color w:val="231F20"/>
                <w:w w:val="99"/>
              </w:rPr>
              <w:t>/s/ Lucy O. Day</w:t>
            </w:r>
          </w:p>
        </w:tc>
        <w:tc>
          <w:tcPr>
            <w:tcW w:w="4860" w:type="dxa"/>
            <w:vAlign w:val="bottom"/>
          </w:tcPr>
          <w:p>
            <w:pPr>
              <w:jc w:val="center"/>
              <w:spacing w:after="0"/>
              <w:rPr>
                <w:sz w:val="20"/>
                <w:szCs w:val="20"/>
                <w:color w:val="auto"/>
              </w:rPr>
            </w:pPr>
            <w:r>
              <w:rPr>
                <w:rFonts w:ascii="Arial" w:cs="Arial" w:eastAsia="Arial" w:hAnsi="Arial"/>
                <w:sz w:val="20"/>
                <w:szCs w:val="20"/>
                <w:color w:val="231F20"/>
                <w:w w:val="99"/>
              </w:rPr>
              <w:t>(Principal Financial Officer)</w:t>
            </w:r>
          </w:p>
        </w:tc>
        <w:tc>
          <w:tcPr>
            <w:tcW w:w="1900" w:type="dxa"/>
            <w:vAlign w:val="bottom"/>
          </w:tcPr>
          <w:p>
            <w:pPr>
              <w:ind w:left="500"/>
              <w:spacing w:after="0"/>
              <w:rPr>
                <w:sz w:val="20"/>
                <w:szCs w:val="20"/>
                <w:color w:val="auto"/>
              </w:rPr>
            </w:pPr>
            <w:r>
              <w:rPr>
                <w:rFonts w:ascii="Arial" w:cs="Arial" w:eastAsia="Arial" w:hAnsi="Arial"/>
                <w:sz w:val="20"/>
                <w:szCs w:val="20"/>
                <w:color w:val="231F20"/>
                <w:w w:val="99"/>
              </w:rPr>
              <w:t>March 17, 2026</w:t>
            </w:r>
          </w:p>
        </w:tc>
        <w:tc>
          <w:tcPr>
            <w:tcW w:w="0" w:type="dxa"/>
            <w:vAlign w:val="bottom"/>
          </w:tcPr>
          <w:p>
            <w:pPr>
              <w:spacing w:after="0"/>
              <w:rPr>
                <w:sz w:val="1"/>
                <w:szCs w:val="1"/>
                <w:color w:val="auto"/>
              </w:rPr>
            </w:pPr>
          </w:p>
        </w:tc>
      </w:tr>
      <w:tr>
        <w:trPr>
          <w:trHeight w:val="214"/>
        </w:trPr>
        <w:tc>
          <w:tcPr>
            <w:tcW w:w="3560" w:type="dxa"/>
            <w:vAlign w:val="bottom"/>
          </w:tcPr>
          <w:p>
            <w:pPr>
              <w:jc w:val="center"/>
              <w:spacing w:after="0"/>
              <w:rPr>
                <w:sz w:val="20"/>
                <w:szCs w:val="20"/>
                <w:color w:val="auto"/>
              </w:rPr>
            </w:pPr>
            <w:r>
              <w:rPr>
                <w:rFonts w:ascii="Arial" w:cs="Arial" w:eastAsia="Arial" w:hAnsi="Arial"/>
                <w:sz w:val="16"/>
                <w:szCs w:val="16"/>
                <w:b w:val="1"/>
                <w:bCs w:val="1"/>
                <w:color w:val="231F20"/>
                <w:w w:val="99"/>
              </w:rPr>
              <w:t>Lucy O. Day</w:t>
            </w:r>
          </w:p>
        </w:tc>
        <w:tc>
          <w:tcPr>
            <w:tcW w:w="4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3560" w:type="dxa"/>
            <w:vAlign w:val="bottom"/>
            <w:vMerge w:val="restart"/>
          </w:tcPr>
          <w:p>
            <w:pPr>
              <w:jc w:val="center"/>
              <w:spacing w:after="0"/>
              <w:rPr>
                <w:sz w:val="20"/>
                <w:szCs w:val="20"/>
                <w:color w:val="auto"/>
              </w:rPr>
            </w:pPr>
            <w:r>
              <w:rPr>
                <w:rFonts w:ascii="Arial" w:cs="Arial" w:eastAsia="Arial" w:hAnsi="Arial"/>
                <w:sz w:val="20"/>
                <w:szCs w:val="20"/>
                <w:color w:val="231F20"/>
                <w:w w:val="99"/>
              </w:rPr>
              <w:t>/s/ Sarah Williams</w:t>
            </w:r>
          </w:p>
        </w:tc>
        <w:tc>
          <w:tcPr>
            <w:tcW w:w="4860" w:type="dxa"/>
            <w:vAlign w:val="bottom"/>
          </w:tcPr>
          <w:p>
            <w:pPr>
              <w:jc w:val="center"/>
              <w:spacing w:after="0"/>
              <w:rPr>
                <w:sz w:val="20"/>
                <w:szCs w:val="20"/>
                <w:color w:val="auto"/>
              </w:rPr>
            </w:pPr>
            <w:r>
              <w:rPr>
                <w:rFonts w:ascii="Arial" w:cs="Arial" w:eastAsia="Arial" w:hAnsi="Arial"/>
                <w:sz w:val="20"/>
                <w:szCs w:val="20"/>
                <w:color w:val="231F20"/>
              </w:rPr>
              <w:t>Principal Accounting Officer</w:t>
            </w:r>
          </w:p>
        </w:tc>
        <w:tc>
          <w:tcPr>
            <w:tcW w:w="1900" w:type="dxa"/>
            <w:vAlign w:val="bottom"/>
          </w:tcPr>
          <w:p>
            <w:pPr>
              <w:ind w:left="500"/>
              <w:spacing w:after="0"/>
              <w:rPr>
                <w:sz w:val="20"/>
                <w:szCs w:val="20"/>
                <w:color w:val="auto"/>
              </w:rPr>
            </w:pPr>
            <w:r>
              <w:rPr>
                <w:rFonts w:ascii="Arial" w:cs="Arial" w:eastAsia="Arial" w:hAnsi="Arial"/>
                <w:sz w:val="20"/>
                <w:szCs w:val="20"/>
                <w:color w:val="231F20"/>
                <w:w w:val="99"/>
              </w:rPr>
              <w:t>March 17, 2026</w:t>
            </w:r>
          </w:p>
        </w:tc>
        <w:tc>
          <w:tcPr>
            <w:tcW w:w="0" w:type="dxa"/>
            <w:vAlign w:val="bottom"/>
          </w:tcPr>
          <w:p>
            <w:pPr>
              <w:spacing w:after="0"/>
              <w:rPr>
                <w:sz w:val="1"/>
                <w:szCs w:val="1"/>
                <w:color w:val="auto"/>
              </w:rPr>
            </w:pPr>
          </w:p>
        </w:tc>
      </w:tr>
      <w:tr>
        <w:trPr>
          <w:trHeight w:val="75"/>
        </w:trPr>
        <w:tc>
          <w:tcPr>
            <w:tcW w:w="3560" w:type="dxa"/>
            <w:vAlign w:val="bottom"/>
            <w:tcBorders>
              <w:bottom w:val="single" w:sz="8" w:color="231F20"/>
            </w:tcBorders>
            <w:vMerge w:val="continue"/>
          </w:tcPr>
          <w:p>
            <w:pPr>
              <w:spacing w:after="0"/>
              <w:rPr>
                <w:sz w:val="6"/>
                <w:szCs w:val="6"/>
                <w:color w:val="auto"/>
              </w:rPr>
            </w:pPr>
          </w:p>
        </w:tc>
        <w:tc>
          <w:tcPr>
            <w:tcW w:w="48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3560" w:type="dxa"/>
            <w:vAlign w:val="bottom"/>
          </w:tcPr>
          <w:p>
            <w:pPr>
              <w:jc w:val="center"/>
              <w:spacing w:after="0"/>
              <w:rPr>
                <w:sz w:val="20"/>
                <w:szCs w:val="20"/>
                <w:color w:val="auto"/>
              </w:rPr>
            </w:pPr>
            <w:r>
              <w:rPr>
                <w:rFonts w:ascii="Arial" w:cs="Arial" w:eastAsia="Arial" w:hAnsi="Arial"/>
                <w:sz w:val="16"/>
                <w:szCs w:val="16"/>
                <w:b w:val="1"/>
                <w:bCs w:val="1"/>
                <w:color w:val="231F20"/>
              </w:rPr>
              <w:t>Sarah Williams</w:t>
            </w:r>
          </w:p>
        </w:tc>
        <w:tc>
          <w:tcPr>
            <w:tcW w:w="48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35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color w:val="231F20"/>
              </w:rPr>
              <w:t>/s/ Maggie FitzPatrick</w:t>
            </w:r>
          </w:p>
        </w:tc>
        <w:tc>
          <w:tcPr>
            <w:tcW w:w="4860" w:type="dxa"/>
            <w:vAlign w:val="bottom"/>
          </w:tcPr>
          <w:p>
            <w:pPr>
              <w:jc w:val="center"/>
              <w:spacing w:after="0"/>
              <w:rPr>
                <w:sz w:val="20"/>
                <w:szCs w:val="20"/>
                <w:color w:val="auto"/>
              </w:rPr>
            </w:pPr>
            <w:r>
              <w:rPr>
                <w:rFonts w:ascii="Arial" w:cs="Arial" w:eastAsia="Arial" w:hAnsi="Arial"/>
                <w:sz w:val="20"/>
                <w:szCs w:val="20"/>
                <w:color w:val="231F20"/>
              </w:rPr>
              <w:t>Lead Independent Director</w:t>
            </w:r>
          </w:p>
        </w:tc>
        <w:tc>
          <w:tcPr>
            <w:tcW w:w="1900" w:type="dxa"/>
            <w:vAlign w:val="bottom"/>
          </w:tcPr>
          <w:p>
            <w:pPr>
              <w:ind w:left="500"/>
              <w:spacing w:after="0"/>
              <w:rPr>
                <w:sz w:val="20"/>
                <w:szCs w:val="20"/>
                <w:color w:val="auto"/>
              </w:rPr>
            </w:pPr>
            <w:r>
              <w:rPr>
                <w:rFonts w:ascii="Arial" w:cs="Arial" w:eastAsia="Arial" w:hAnsi="Arial"/>
                <w:sz w:val="20"/>
                <w:szCs w:val="20"/>
                <w:color w:val="231F20"/>
                <w:w w:val="99"/>
              </w:rPr>
              <w:t>March 17, 2026</w:t>
            </w:r>
          </w:p>
        </w:tc>
        <w:tc>
          <w:tcPr>
            <w:tcW w:w="0" w:type="dxa"/>
            <w:vAlign w:val="bottom"/>
          </w:tcPr>
          <w:p>
            <w:pPr>
              <w:spacing w:after="0"/>
              <w:rPr>
                <w:sz w:val="1"/>
                <w:szCs w:val="1"/>
                <w:color w:val="auto"/>
              </w:rPr>
            </w:pPr>
          </w:p>
        </w:tc>
      </w:tr>
      <w:tr>
        <w:trPr>
          <w:trHeight w:val="214"/>
        </w:trPr>
        <w:tc>
          <w:tcPr>
            <w:tcW w:w="3560" w:type="dxa"/>
            <w:vAlign w:val="bottom"/>
          </w:tcPr>
          <w:p>
            <w:pPr>
              <w:jc w:val="center"/>
              <w:spacing w:after="0"/>
              <w:rPr>
                <w:sz w:val="20"/>
                <w:szCs w:val="20"/>
                <w:color w:val="auto"/>
              </w:rPr>
            </w:pPr>
            <w:r>
              <w:rPr>
                <w:rFonts w:ascii="Arial" w:cs="Arial" w:eastAsia="Arial" w:hAnsi="Arial"/>
                <w:sz w:val="16"/>
                <w:szCs w:val="16"/>
                <w:b w:val="1"/>
                <w:bCs w:val="1"/>
                <w:color w:val="231F20"/>
                <w:w w:val="99"/>
              </w:rPr>
              <w:t>Maggie FItzPatrick</w:t>
            </w:r>
          </w:p>
        </w:tc>
        <w:tc>
          <w:tcPr>
            <w:tcW w:w="4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color w:val="231F20"/>
                <w:w w:val="99"/>
              </w:rPr>
              <w:t>/s/ Kabeer Aziz</w:t>
            </w:r>
          </w:p>
        </w:tc>
        <w:tc>
          <w:tcPr>
            <w:tcW w:w="4860" w:type="dxa"/>
            <w:vAlign w:val="bottom"/>
          </w:tcPr>
          <w:p>
            <w:pPr>
              <w:jc w:val="center"/>
              <w:spacing w:after="0"/>
              <w:rPr>
                <w:sz w:val="20"/>
                <w:szCs w:val="20"/>
                <w:color w:val="auto"/>
              </w:rPr>
            </w:pPr>
            <w:r>
              <w:rPr>
                <w:rFonts w:ascii="Arial" w:cs="Arial" w:eastAsia="Arial" w:hAnsi="Arial"/>
                <w:sz w:val="20"/>
                <w:szCs w:val="20"/>
                <w:color w:val="231F20"/>
                <w:w w:val="99"/>
              </w:rPr>
              <w:t>Director</w:t>
            </w:r>
          </w:p>
        </w:tc>
        <w:tc>
          <w:tcPr>
            <w:tcW w:w="1900" w:type="dxa"/>
            <w:vAlign w:val="bottom"/>
          </w:tcPr>
          <w:p>
            <w:pPr>
              <w:ind w:left="500"/>
              <w:spacing w:after="0"/>
              <w:rPr>
                <w:sz w:val="20"/>
                <w:szCs w:val="20"/>
                <w:color w:val="auto"/>
              </w:rPr>
            </w:pPr>
            <w:r>
              <w:rPr>
                <w:rFonts w:ascii="Arial" w:cs="Arial" w:eastAsia="Arial" w:hAnsi="Arial"/>
                <w:sz w:val="20"/>
                <w:szCs w:val="20"/>
                <w:color w:val="231F20"/>
                <w:w w:val="99"/>
              </w:rPr>
              <w:t>March 17, 2026</w:t>
            </w:r>
          </w:p>
        </w:tc>
        <w:tc>
          <w:tcPr>
            <w:tcW w:w="0" w:type="dxa"/>
            <w:vAlign w:val="bottom"/>
          </w:tcPr>
          <w:p>
            <w:pPr>
              <w:spacing w:after="0"/>
              <w:rPr>
                <w:sz w:val="1"/>
                <w:szCs w:val="1"/>
                <w:color w:val="auto"/>
              </w:rPr>
            </w:pPr>
          </w:p>
        </w:tc>
      </w:tr>
      <w:tr>
        <w:trPr>
          <w:trHeight w:val="214"/>
        </w:trPr>
        <w:tc>
          <w:tcPr>
            <w:tcW w:w="3560" w:type="dxa"/>
            <w:vAlign w:val="bottom"/>
          </w:tcPr>
          <w:p>
            <w:pPr>
              <w:jc w:val="center"/>
              <w:spacing w:after="0"/>
              <w:rPr>
                <w:sz w:val="20"/>
                <w:szCs w:val="20"/>
                <w:color w:val="auto"/>
              </w:rPr>
            </w:pPr>
            <w:r>
              <w:rPr>
                <w:rFonts w:ascii="Arial" w:cs="Arial" w:eastAsia="Arial" w:hAnsi="Arial"/>
                <w:sz w:val="16"/>
                <w:szCs w:val="16"/>
                <w:b w:val="1"/>
                <w:bCs w:val="1"/>
                <w:color w:val="231F20"/>
                <w:w w:val="99"/>
              </w:rPr>
              <w:t>Kabeer Aziz</w:t>
            </w:r>
          </w:p>
        </w:tc>
        <w:tc>
          <w:tcPr>
            <w:tcW w:w="4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color w:val="231F20"/>
              </w:rPr>
              <w:t>/s/ Gilbert L. Marks</w:t>
            </w:r>
          </w:p>
        </w:tc>
        <w:tc>
          <w:tcPr>
            <w:tcW w:w="4860" w:type="dxa"/>
            <w:vAlign w:val="bottom"/>
          </w:tcPr>
          <w:p>
            <w:pPr>
              <w:jc w:val="center"/>
              <w:spacing w:after="0"/>
              <w:rPr>
                <w:sz w:val="20"/>
                <w:szCs w:val="20"/>
                <w:color w:val="auto"/>
              </w:rPr>
            </w:pPr>
            <w:r>
              <w:rPr>
                <w:rFonts w:ascii="Arial" w:cs="Arial" w:eastAsia="Arial" w:hAnsi="Arial"/>
                <w:sz w:val="20"/>
                <w:szCs w:val="20"/>
                <w:color w:val="231F20"/>
                <w:w w:val="99"/>
              </w:rPr>
              <w:t>Director</w:t>
            </w:r>
          </w:p>
        </w:tc>
        <w:tc>
          <w:tcPr>
            <w:tcW w:w="1900" w:type="dxa"/>
            <w:vAlign w:val="bottom"/>
          </w:tcPr>
          <w:p>
            <w:pPr>
              <w:ind w:left="500"/>
              <w:spacing w:after="0"/>
              <w:rPr>
                <w:sz w:val="20"/>
                <w:szCs w:val="20"/>
                <w:color w:val="auto"/>
              </w:rPr>
            </w:pPr>
            <w:r>
              <w:rPr>
                <w:rFonts w:ascii="Arial" w:cs="Arial" w:eastAsia="Arial" w:hAnsi="Arial"/>
                <w:sz w:val="20"/>
                <w:szCs w:val="20"/>
                <w:color w:val="231F20"/>
                <w:w w:val="99"/>
              </w:rPr>
              <w:t>March 17, 2026</w:t>
            </w:r>
          </w:p>
        </w:tc>
        <w:tc>
          <w:tcPr>
            <w:tcW w:w="0" w:type="dxa"/>
            <w:vAlign w:val="bottom"/>
          </w:tcPr>
          <w:p>
            <w:pPr>
              <w:spacing w:after="0"/>
              <w:rPr>
                <w:sz w:val="1"/>
                <w:szCs w:val="1"/>
                <w:color w:val="auto"/>
              </w:rPr>
            </w:pPr>
          </w:p>
        </w:tc>
      </w:tr>
      <w:tr>
        <w:trPr>
          <w:trHeight w:val="214"/>
        </w:trPr>
        <w:tc>
          <w:tcPr>
            <w:tcW w:w="3560" w:type="dxa"/>
            <w:vAlign w:val="bottom"/>
          </w:tcPr>
          <w:p>
            <w:pPr>
              <w:jc w:val="center"/>
              <w:spacing w:after="0"/>
              <w:rPr>
                <w:sz w:val="20"/>
                <w:szCs w:val="20"/>
                <w:color w:val="auto"/>
              </w:rPr>
            </w:pPr>
            <w:r>
              <w:rPr>
                <w:rFonts w:ascii="Arial" w:cs="Arial" w:eastAsia="Arial" w:hAnsi="Arial"/>
                <w:sz w:val="16"/>
                <w:szCs w:val="16"/>
                <w:b w:val="1"/>
                <w:bCs w:val="1"/>
                <w:color w:val="231F20"/>
                <w:w w:val="99"/>
              </w:rPr>
              <w:t>Gilbert L. Marks</w:t>
            </w:r>
          </w:p>
        </w:tc>
        <w:tc>
          <w:tcPr>
            <w:tcW w:w="4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color w:val="231F20"/>
                <w:w w:val="99"/>
              </w:rPr>
              <w:t>/s/ Patricia (Patty) Martin</w:t>
            </w:r>
          </w:p>
        </w:tc>
        <w:tc>
          <w:tcPr>
            <w:tcW w:w="4860" w:type="dxa"/>
            <w:vAlign w:val="bottom"/>
          </w:tcPr>
          <w:p>
            <w:pPr>
              <w:jc w:val="center"/>
              <w:spacing w:after="0"/>
              <w:rPr>
                <w:sz w:val="20"/>
                <w:szCs w:val="20"/>
                <w:color w:val="auto"/>
              </w:rPr>
            </w:pPr>
            <w:r>
              <w:rPr>
                <w:rFonts w:ascii="Arial" w:cs="Arial" w:eastAsia="Arial" w:hAnsi="Arial"/>
                <w:sz w:val="20"/>
                <w:szCs w:val="20"/>
                <w:color w:val="231F20"/>
                <w:w w:val="99"/>
              </w:rPr>
              <w:t>Director</w:t>
            </w:r>
          </w:p>
        </w:tc>
        <w:tc>
          <w:tcPr>
            <w:tcW w:w="1900" w:type="dxa"/>
            <w:vAlign w:val="bottom"/>
          </w:tcPr>
          <w:p>
            <w:pPr>
              <w:ind w:left="500"/>
              <w:spacing w:after="0"/>
              <w:rPr>
                <w:sz w:val="20"/>
                <w:szCs w:val="20"/>
                <w:color w:val="auto"/>
              </w:rPr>
            </w:pPr>
            <w:r>
              <w:rPr>
                <w:rFonts w:ascii="Arial" w:cs="Arial" w:eastAsia="Arial" w:hAnsi="Arial"/>
                <w:sz w:val="20"/>
                <w:szCs w:val="20"/>
                <w:color w:val="231F20"/>
                <w:w w:val="99"/>
              </w:rPr>
              <w:t>March 17, 2026</w:t>
            </w:r>
          </w:p>
        </w:tc>
        <w:tc>
          <w:tcPr>
            <w:tcW w:w="0" w:type="dxa"/>
            <w:vAlign w:val="bottom"/>
          </w:tcPr>
          <w:p>
            <w:pPr>
              <w:spacing w:after="0"/>
              <w:rPr>
                <w:sz w:val="1"/>
                <w:szCs w:val="1"/>
                <w:color w:val="auto"/>
              </w:rPr>
            </w:pPr>
          </w:p>
        </w:tc>
      </w:tr>
      <w:tr>
        <w:trPr>
          <w:trHeight w:val="214"/>
        </w:trPr>
        <w:tc>
          <w:tcPr>
            <w:tcW w:w="3560" w:type="dxa"/>
            <w:vAlign w:val="bottom"/>
          </w:tcPr>
          <w:p>
            <w:pPr>
              <w:jc w:val="center"/>
              <w:spacing w:after="0"/>
              <w:rPr>
                <w:sz w:val="20"/>
                <w:szCs w:val="20"/>
                <w:color w:val="auto"/>
              </w:rPr>
            </w:pPr>
            <w:r>
              <w:rPr>
                <w:rFonts w:ascii="Arial" w:cs="Arial" w:eastAsia="Arial" w:hAnsi="Arial"/>
                <w:sz w:val="16"/>
                <w:szCs w:val="16"/>
                <w:b w:val="1"/>
                <w:bCs w:val="1"/>
                <w:color w:val="231F20"/>
                <w:w w:val="99"/>
              </w:rPr>
              <w:t>Patricia (Patty) Martin</w:t>
            </w:r>
          </w:p>
        </w:tc>
        <w:tc>
          <w:tcPr>
            <w:tcW w:w="4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color w:val="231F20"/>
                <w:w w:val="99"/>
              </w:rPr>
              <w:t>/s/ Rob Readnour</w:t>
            </w:r>
          </w:p>
        </w:tc>
        <w:tc>
          <w:tcPr>
            <w:tcW w:w="4860" w:type="dxa"/>
            <w:vAlign w:val="bottom"/>
          </w:tcPr>
          <w:p>
            <w:pPr>
              <w:jc w:val="center"/>
              <w:spacing w:after="0"/>
              <w:rPr>
                <w:sz w:val="20"/>
                <w:szCs w:val="20"/>
                <w:color w:val="auto"/>
              </w:rPr>
            </w:pPr>
            <w:r>
              <w:rPr>
                <w:rFonts w:ascii="Arial" w:cs="Arial" w:eastAsia="Arial" w:hAnsi="Arial"/>
                <w:sz w:val="20"/>
                <w:szCs w:val="20"/>
                <w:color w:val="231F20"/>
                <w:w w:val="99"/>
              </w:rPr>
              <w:t>Director</w:t>
            </w:r>
          </w:p>
        </w:tc>
        <w:tc>
          <w:tcPr>
            <w:tcW w:w="1900" w:type="dxa"/>
            <w:vAlign w:val="bottom"/>
          </w:tcPr>
          <w:p>
            <w:pPr>
              <w:ind w:left="500"/>
              <w:spacing w:after="0"/>
              <w:rPr>
                <w:sz w:val="20"/>
                <w:szCs w:val="20"/>
                <w:color w:val="auto"/>
              </w:rPr>
            </w:pPr>
            <w:r>
              <w:rPr>
                <w:rFonts w:ascii="Arial" w:cs="Arial" w:eastAsia="Arial" w:hAnsi="Arial"/>
                <w:sz w:val="20"/>
                <w:szCs w:val="20"/>
                <w:color w:val="231F20"/>
                <w:w w:val="99"/>
              </w:rPr>
              <w:t>March 17, 2026</w:t>
            </w:r>
          </w:p>
        </w:tc>
        <w:tc>
          <w:tcPr>
            <w:tcW w:w="0" w:type="dxa"/>
            <w:vAlign w:val="bottom"/>
          </w:tcPr>
          <w:p>
            <w:pPr>
              <w:spacing w:after="0"/>
              <w:rPr>
                <w:sz w:val="1"/>
                <w:szCs w:val="1"/>
                <w:color w:val="auto"/>
              </w:rPr>
            </w:pPr>
          </w:p>
        </w:tc>
      </w:tr>
      <w:tr>
        <w:trPr>
          <w:trHeight w:val="214"/>
        </w:trPr>
        <w:tc>
          <w:tcPr>
            <w:tcW w:w="3560" w:type="dxa"/>
            <w:vAlign w:val="bottom"/>
          </w:tcPr>
          <w:p>
            <w:pPr>
              <w:jc w:val="center"/>
              <w:spacing w:after="0"/>
              <w:rPr>
                <w:sz w:val="20"/>
                <w:szCs w:val="20"/>
                <w:color w:val="auto"/>
              </w:rPr>
            </w:pPr>
            <w:r>
              <w:rPr>
                <w:rFonts w:ascii="Arial" w:cs="Arial" w:eastAsia="Arial" w:hAnsi="Arial"/>
                <w:sz w:val="16"/>
                <w:szCs w:val="16"/>
                <w:b w:val="1"/>
                <w:bCs w:val="1"/>
                <w:color w:val="231F20"/>
                <w:w w:val="99"/>
              </w:rPr>
              <w:t>Rob Readnour</w:t>
            </w:r>
          </w:p>
        </w:tc>
        <w:tc>
          <w:tcPr>
            <w:tcW w:w="4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740"/>
          </w:cols>
          <w:pgMar w:left="540" w:top="746" w:right="600" w:bottom="0" w:gutter="0" w:footer="0" w:header="0"/>
        </w:sectPr>
      </w:pP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10740"/>
          </w:cols>
          <w:pgMar w:left="540" w:top="746" w:right="60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49"/>
        </w:trPr>
        <w:tc>
          <w:tcPr>
            <w:tcW w:w="35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color w:val="231F20"/>
                <w:w w:val="99"/>
              </w:rPr>
              <w:t>/s/ Melvin Spigelman</w:t>
            </w:r>
          </w:p>
        </w:tc>
        <w:tc>
          <w:tcPr>
            <w:tcW w:w="4080" w:type="dxa"/>
            <w:vAlign w:val="bottom"/>
          </w:tcPr>
          <w:p>
            <w:pPr>
              <w:ind w:left="2100"/>
              <w:spacing w:after="0"/>
              <w:rPr>
                <w:sz w:val="20"/>
                <w:szCs w:val="20"/>
                <w:color w:val="auto"/>
              </w:rPr>
            </w:pPr>
            <w:r>
              <w:rPr>
                <w:rFonts w:ascii="Arial" w:cs="Arial" w:eastAsia="Arial" w:hAnsi="Arial"/>
                <w:sz w:val="20"/>
                <w:szCs w:val="20"/>
                <w:color w:val="231F20"/>
              </w:rPr>
              <w:t>Director</w:t>
            </w:r>
          </w:p>
        </w:tc>
        <w:tc>
          <w:tcPr>
            <w:tcW w:w="2680" w:type="dxa"/>
            <w:vAlign w:val="bottom"/>
          </w:tcPr>
          <w:p>
            <w:pPr>
              <w:ind w:left="1280"/>
              <w:spacing w:after="0"/>
              <w:rPr>
                <w:sz w:val="20"/>
                <w:szCs w:val="20"/>
                <w:color w:val="auto"/>
              </w:rPr>
            </w:pPr>
            <w:r>
              <w:rPr>
                <w:rFonts w:ascii="Arial" w:cs="Arial" w:eastAsia="Arial" w:hAnsi="Arial"/>
                <w:sz w:val="20"/>
                <w:szCs w:val="20"/>
                <w:color w:val="231F20"/>
                <w:w w:val="99"/>
              </w:rPr>
              <w:t>March 17, 2026</w:t>
            </w:r>
          </w:p>
        </w:tc>
      </w:tr>
      <w:tr>
        <w:trPr>
          <w:trHeight w:val="219"/>
        </w:trPr>
        <w:tc>
          <w:tcPr>
            <w:tcW w:w="3560" w:type="dxa"/>
            <w:vAlign w:val="bottom"/>
          </w:tcPr>
          <w:p>
            <w:pPr>
              <w:jc w:val="center"/>
              <w:spacing w:after="0"/>
              <w:rPr>
                <w:sz w:val="20"/>
                <w:szCs w:val="20"/>
                <w:color w:val="auto"/>
              </w:rPr>
            </w:pPr>
            <w:r>
              <w:rPr>
                <w:rFonts w:ascii="Arial" w:cs="Arial" w:eastAsia="Arial" w:hAnsi="Arial"/>
                <w:sz w:val="16"/>
                <w:szCs w:val="16"/>
                <w:b w:val="1"/>
                <w:bCs w:val="1"/>
                <w:color w:val="231F20"/>
              </w:rPr>
              <w:t>Melvin Spigelman</w:t>
            </w:r>
          </w:p>
        </w:tc>
        <w:tc>
          <w:tcPr>
            <w:tcW w:w="408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22"/>
        </w:trPr>
        <w:tc>
          <w:tcPr>
            <w:tcW w:w="35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color w:val="231F20"/>
                <w:w w:val="99"/>
              </w:rPr>
              <w:t>/s/ Stephanie Wong</w:t>
            </w:r>
          </w:p>
        </w:tc>
        <w:tc>
          <w:tcPr>
            <w:tcW w:w="4080" w:type="dxa"/>
            <w:vAlign w:val="bottom"/>
          </w:tcPr>
          <w:p>
            <w:pPr>
              <w:ind w:left="2100"/>
              <w:spacing w:after="0"/>
              <w:rPr>
                <w:sz w:val="20"/>
                <w:szCs w:val="20"/>
                <w:color w:val="auto"/>
              </w:rPr>
            </w:pPr>
            <w:r>
              <w:rPr>
                <w:rFonts w:ascii="Arial" w:cs="Arial" w:eastAsia="Arial" w:hAnsi="Arial"/>
                <w:sz w:val="20"/>
                <w:szCs w:val="20"/>
                <w:color w:val="231F20"/>
              </w:rPr>
              <w:t>Director</w:t>
            </w:r>
          </w:p>
        </w:tc>
        <w:tc>
          <w:tcPr>
            <w:tcW w:w="2680" w:type="dxa"/>
            <w:vAlign w:val="bottom"/>
          </w:tcPr>
          <w:p>
            <w:pPr>
              <w:ind w:left="1280"/>
              <w:spacing w:after="0"/>
              <w:rPr>
                <w:sz w:val="20"/>
                <w:szCs w:val="20"/>
                <w:color w:val="auto"/>
              </w:rPr>
            </w:pPr>
            <w:r>
              <w:rPr>
                <w:rFonts w:ascii="Arial" w:cs="Arial" w:eastAsia="Arial" w:hAnsi="Arial"/>
                <w:sz w:val="20"/>
                <w:szCs w:val="20"/>
                <w:color w:val="231F20"/>
                <w:w w:val="99"/>
              </w:rPr>
              <w:t>March 17, 2026</w:t>
            </w:r>
          </w:p>
        </w:tc>
      </w:tr>
      <w:tr>
        <w:trPr>
          <w:trHeight w:val="214"/>
        </w:trPr>
        <w:tc>
          <w:tcPr>
            <w:tcW w:w="3560" w:type="dxa"/>
            <w:vAlign w:val="bottom"/>
          </w:tcPr>
          <w:p>
            <w:pPr>
              <w:jc w:val="center"/>
              <w:spacing w:after="0"/>
              <w:rPr>
                <w:sz w:val="20"/>
                <w:szCs w:val="20"/>
                <w:color w:val="auto"/>
              </w:rPr>
            </w:pPr>
            <w:r>
              <w:rPr>
                <w:rFonts w:ascii="Arial" w:cs="Arial" w:eastAsia="Arial" w:hAnsi="Arial"/>
                <w:sz w:val="16"/>
                <w:szCs w:val="16"/>
                <w:b w:val="1"/>
                <w:bCs w:val="1"/>
                <w:color w:val="231F20"/>
              </w:rPr>
              <w:t>Stephanie Wong</w:t>
            </w:r>
          </w:p>
        </w:tc>
        <w:tc>
          <w:tcPr>
            <w:tcW w:w="40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322"/>
        </w:trPr>
        <w:tc>
          <w:tcPr>
            <w:tcW w:w="35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color w:val="231F20"/>
                <w:w w:val="99"/>
              </w:rPr>
              <w:t>/s/ Joseph Zakrzewski</w:t>
            </w:r>
          </w:p>
        </w:tc>
        <w:tc>
          <w:tcPr>
            <w:tcW w:w="4080" w:type="dxa"/>
            <w:vAlign w:val="bottom"/>
          </w:tcPr>
          <w:p>
            <w:pPr>
              <w:ind w:left="2100"/>
              <w:spacing w:after="0"/>
              <w:rPr>
                <w:sz w:val="20"/>
                <w:szCs w:val="20"/>
                <w:color w:val="auto"/>
              </w:rPr>
            </w:pPr>
            <w:r>
              <w:rPr>
                <w:rFonts w:ascii="Arial" w:cs="Arial" w:eastAsia="Arial" w:hAnsi="Arial"/>
                <w:sz w:val="20"/>
                <w:szCs w:val="20"/>
                <w:color w:val="231F20"/>
              </w:rPr>
              <w:t>Director</w:t>
            </w:r>
          </w:p>
        </w:tc>
        <w:tc>
          <w:tcPr>
            <w:tcW w:w="2680" w:type="dxa"/>
            <w:vAlign w:val="bottom"/>
          </w:tcPr>
          <w:p>
            <w:pPr>
              <w:ind w:left="1280"/>
              <w:spacing w:after="0"/>
              <w:rPr>
                <w:sz w:val="20"/>
                <w:szCs w:val="20"/>
                <w:color w:val="auto"/>
              </w:rPr>
            </w:pPr>
            <w:r>
              <w:rPr>
                <w:rFonts w:ascii="Arial" w:cs="Arial" w:eastAsia="Arial" w:hAnsi="Arial"/>
                <w:sz w:val="20"/>
                <w:szCs w:val="20"/>
                <w:color w:val="231F20"/>
                <w:w w:val="99"/>
              </w:rPr>
              <w:t>March 17, 2026</w:t>
            </w:r>
          </w:p>
        </w:tc>
      </w:tr>
      <w:tr>
        <w:trPr>
          <w:trHeight w:val="219"/>
        </w:trPr>
        <w:tc>
          <w:tcPr>
            <w:tcW w:w="3560" w:type="dxa"/>
            <w:vAlign w:val="bottom"/>
          </w:tcPr>
          <w:p>
            <w:pPr>
              <w:jc w:val="center"/>
              <w:spacing w:after="0"/>
              <w:rPr>
                <w:sz w:val="20"/>
                <w:szCs w:val="20"/>
                <w:color w:val="auto"/>
              </w:rPr>
            </w:pPr>
            <w:r>
              <w:rPr>
                <w:rFonts w:ascii="Arial" w:cs="Arial" w:eastAsia="Arial" w:hAnsi="Arial"/>
                <w:sz w:val="16"/>
                <w:szCs w:val="16"/>
                <w:b w:val="1"/>
                <w:bCs w:val="1"/>
                <w:color w:val="231F20"/>
              </w:rPr>
              <w:t>Joseph Zakrzewski</w:t>
            </w:r>
          </w:p>
        </w:tc>
        <w:tc>
          <w:tcPr>
            <w:tcW w:w="4080" w:type="dxa"/>
            <w:vAlign w:val="bottom"/>
          </w:tcPr>
          <w:p>
            <w:pPr>
              <w:spacing w:after="0"/>
              <w:rPr>
                <w:sz w:val="19"/>
                <w:szCs w:val="19"/>
                <w:color w:val="auto"/>
              </w:rPr>
            </w:pPr>
          </w:p>
        </w:tc>
        <w:tc>
          <w:tcPr>
            <w:tcW w:w="2680" w:type="dxa"/>
            <w:vAlign w:val="bottom"/>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10320"/>
          </w:cols>
          <w:pgMar w:left="540" w:top="76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10320"/>
          </w:cols>
          <w:pgMar w:left="540" w:top="765" w:right="102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85"/>
        </w:trPr>
        <w:tc>
          <w:tcPr>
            <w:tcW w:w="9780" w:type="dxa"/>
            <w:vAlign w:val="bottom"/>
          </w:tcPr>
          <w:p>
            <w:pPr>
              <w:ind w:left="3900"/>
              <w:spacing w:after="0"/>
              <w:rPr>
                <w:sz w:val="20"/>
                <w:szCs w:val="20"/>
                <w:color w:val="auto"/>
              </w:rPr>
            </w:pPr>
            <w:r>
              <w:rPr>
                <w:rFonts w:ascii="Arial" w:cs="Arial" w:eastAsia="Arial" w:hAnsi="Arial"/>
                <w:sz w:val="20"/>
                <w:szCs w:val="20"/>
                <w:b w:val="1"/>
                <w:bCs w:val="1"/>
                <w:color w:val="231F20"/>
              </w:rPr>
              <w:t>INDEX TO FINANCIAL STATEMENTS</w:t>
            </w:r>
          </w:p>
        </w:tc>
        <w:tc>
          <w:tcPr>
            <w:tcW w:w="1000" w:type="dxa"/>
            <w:vAlign w:val="bottom"/>
          </w:tcPr>
          <w:p>
            <w:pPr>
              <w:spacing w:after="0"/>
              <w:rPr>
                <w:sz w:val="24"/>
                <w:szCs w:val="24"/>
                <w:color w:val="auto"/>
              </w:rPr>
            </w:pPr>
          </w:p>
        </w:tc>
      </w:tr>
      <w:tr>
        <w:trPr>
          <w:trHeight w:val="505"/>
        </w:trPr>
        <w:tc>
          <w:tcPr>
            <w:tcW w:w="9780" w:type="dxa"/>
            <w:vAlign w:val="bottom"/>
          </w:tcPr>
          <w:p>
            <w:pPr>
              <w:spacing w:after="0"/>
              <w:rPr>
                <w:sz w:val="20"/>
                <w:szCs w:val="20"/>
                <w:color w:val="auto"/>
              </w:rPr>
            </w:pPr>
            <w:r>
              <w:rPr>
                <w:rFonts w:ascii="Arial" w:cs="Arial" w:eastAsia="Arial" w:hAnsi="Arial"/>
                <w:sz w:val="20"/>
                <w:szCs w:val="20"/>
                <w:color w:val="231F20"/>
              </w:rPr>
              <w:t>Report of Independent Registered Public Accounting Firm (PCAOB ID: 238)</w:t>
            </w:r>
          </w:p>
        </w:tc>
        <w:tc>
          <w:tcPr>
            <w:tcW w:w="1000" w:type="dxa"/>
            <w:vAlign w:val="bottom"/>
          </w:tcPr>
          <w:p>
            <w:pPr>
              <w:ind w:left="700"/>
              <w:spacing w:after="0"/>
              <w:rPr>
                <w:sz w:val="20"/>
                <w:szCs w:val="20"/>
                <w:color w:val="auto"/>
              </w:rPr>
            </w:pPr>
            <w:r>
              <w:rPr>
                <w:rFonts w:ascii="Arial" w:cs="Arial" w:eastAsia="Arial" w:hAnsi="Arial"/>
                <w:sz w:val="20"/>
                <w:szCs w:val="20"/>
                <w:color w:val="231F20"/>
                <w:w w:val="93"/>
              </w:rPr>
              <w:t>F-2</w:t>
            </w:r>
          </w:p>
        </w:tc>
      </w:tr>
      <w:tr>
        <w:trPr>
          <w:trHeight w:val="490"/>
        </w:trPr>
        <w:tc>
          <w:tcPr>
            <w:tcW w:w="9780" w:type="dxa"/>
            <w:vAlign w:val="bottom"/>
          </w:tcPr>
          <w:p>
            <w:pPr>
              <w:spacing w:after="0"/>
              <w:rPr>
                <w:sz w:val="20"/>
                <w:szCs w:val="20"/>
                <w:color w:val="auto"/>
              </w:rPr>
            </w:pPr>
            <w:r>
              <w:rPr>
                <w:rFonts w:ascii="Arial" w:cs="Arial" w:eastAsia="Arial" w:hAnsi="Arial"/>
                <w:sz w:val="20"/>
                <w:szCs w:val="20"/>
                <w:color w:val="231F20"/>
              </w:rPr>
              <w:t>Balance Sheets as of December 31, 2025 and 2024</w:t>
            </w:r>
          </w:p>
        </w:tc>
        <w:tc>
          <w:tcPr>
            <w:tcW w:w="1000" w:type="dxa"/>
            <w:vAlign w:val="bottom"/>
          </w:tcPr>
          <w:p>
            <w:pPr>
              <w:ind w:left="700"/>
              <w:spacing w:after="0"/>
              <w:rPr>
                <w:sz w:val="20"/>
                <w:szCs w:val="20"/>
                <w:color w:val="auto"/>
              </w:rPr>
            </w:pPr>
            <w:r>
              <w:rPr>
                <w:rFonts w:ascii="Arial" w:cs="Arial" w:eastAsia="Arial" w:hAnsi="Arial"/>
                <w:sz w:val="20"/>
                <w:szCs w:val="20"/>
                <w:color w:val="231F20"/>
                <w:w w:val="93"/>
              </w:rPr>
              <w:t>F-3</w:t>
            </w:r>
          </w:p>
        </w:tc>
      </w:tr>
      <w:tr>
        <w:trPr>
          <w:trHeight w:val="490"/>
        </w:trPr>
        <w:tc>
          <w:tcPr>
            <w:tcW w:w="9780" w:type="dxa"/>
            <w:vAlign w:val="bottom"/>
          </w:tcPr>
          <w:p>
            <w:pPr>
              <w:spacing w:after="0"/>
              <w:rPr>
                <w:sz w:val="20"/>
                <w:szCs w:val="20"/>
                <w:color w:val="auto"/>
              </w:rPr>
            </w:pPr>
            <w:r>
              <w:rPr>
                <w:rFonts w:ascii="Arial" w:cs="Arial" w:eastAsia="Arial" w:hAnsi="Arial"/>
                <w:sz w:val="20"/>
                <w:szCs w:val="20"/>
                <w:color w:val="231F20"/>
              </w:rPr>
              <w:t>Statements of Operations and Comprehensive Loss for the years ended December 31, 2025 and 2024</w:t>
            </w:r>
          </w:p>
        </w:tc>
        <w:tc>
          <w:tcPr>
            <w:tcW w:w="1000" w:type="dxa"/>
            <w:vAlign w:val="bottom"/>
          </w:tcPr>
          <w:p>
            <w:pPr>
              <w:ind w:left="700"/>
              <w:spacing w:after="0"/>
              <w:rPr>
                <w:sz w:val="20"/>
                <w:szCs w:val="20"/>
                <w:color w:val="auto"/>
              </w:rPr>
            </w:pPr>
            <w:r>
              <w:rPr>
                <w:rFonts w:ascii="Arial" w:cs="Arial" w:eastAsia="Arial" w:hAnsi="Arial"/>
                <w:sz w:val="20"/>
                <w:szCs w:val="20"/>
                <w:color w:val="231F20"/>
                <w:w w:val="93"/>
              </w:rPr>
              <w:t>F-4</w:t>
            </w:r>
          </w:p>
        </w:tc>
      </w:tr>
      <w:tr>
        <w:trPr>
          <w:trHeight w:val="490"/>
        </w:trPr>
        <w:tc>
          <w:tcPr>
            <w:tcW w:w="9780" w:type="dxa"/>
            <w:vAlign w:val="bottom"/>
          </w:tcPr>
          <w:p>
            <w:pPr>
              <w:spacing w:after="0"/>
              <w:rPr>
                <w:sz w:val="20"/>
                <w:szCs w:val="20"/>
                <w:color w:val="auto"/>
              </w:rPr>
            </w:pPr>
            <w:r>
              <w:rPr>
                <w:rFonts w:ascii="Arial" w:cs="Arial" w:eastAsia="Arial" w:hAnsi="Arial"/>
                <w:sz w:val="20"/>
                <w:szCs w:val="20"/>
                <w:color w:val="231F20"/>
              </w:rPr>
              <w:t>Statements of Stockholders’ Equity for the years ended December 31, 2025 and 2024</w:t>
            </w:r>
          </w:p>
        </w:tc>
        <w:tc>
          <w:tcPr>
            <w:tcW w:w="1000" w:type="dxa"/>
            <w:vAlign w:val="bottom"/>
          </w:tcPr>
          <w:p>
            <w:pPr>
              <w:ind w:left="700"/>
              <w:spacing w:after="0"/>
              <w:rPr>
                <w:sz w:val="20"/>
                <w:szCs w:val="20"/>
                <w:color w:val="auto"/>
              </w:rPr>
            </w:pPr>
            <w:r>
              <w:rPr>
                <w:rFonts w:ascii="Arial" w:cs="Arial" w:eastAsia="Arial" w:hAnsi="Arial"/>
                <w:sz w:val="20"/>
                <w:szCs w:val="20"/>
                <w:color w:val="231F20"/>
                <w:w w:val="93"/>
              </w:rPr>
              <w:t>F-5</w:t>
            </w:r>
          </w:p>
        </w:tc>
      </w:tr>
      <w:tr>
        <w:trPr>
          <w:trHeight w:val="490"/>
        </w:trPr>
        <w:tc>
          <w:tcPr>
            <w:tcW w:w="9780" w:type="dxa"/>
            <w:vAlign w:val="bottom"/>
          </w:tcPr>
          <w:p>
            <w:pPr>
              <w:spacing w:after="0"/>
              <w:rPr>
                <w:sz w:val="20"/>
                <w:szCs w:val="20"/>
                <w:color w:val="auto"/>
              </w:rPr>
            </w:pPr>
            <w:r>
              <w:rPr>
                <w:rFonts w:ascii="Arial" w:cs="Arial" w:eastAsia="Arial" w:hAnsi="Arial"/>
                <w:sz w:val="20"/>
                <w:szCs w:val="20"/>
                <w:color w:val="231F20"/>
              </w:rPr>
              <w:t>Statements of Cash Flows for the years ended December 31, 2025 and 2024</w:t>
            </w:r>
          </w:p>
        </w:tc>
        <w:tc>
          <w:tcPr>
            <w:tcW w:w="1000" w:type="dxa"/>
            <w:vAlign w:val="bottom"/>
          </w:tcPr>
          <w:p>
            <w:pPr>
              <w:ind w:left="700"/>
              <w:spacing w:after="0"/>
              <w:rPr>
                <w:sz w:val="20"/>
                <w:szCs w:val="20"/>
                <w:color w:val="auto"/>
              </w:rPr>
            </w:pPr>
            <w:r>
              <w:rPr>
                <w:rFonts w:ascii="Arial" w:cs="Arial" w:eastAsia="Arial" w:hAnsi="Arial"/>
                <w:sz w:val="20"/>
                <w:szCs w:val="20"/>
                <w:color w:val="231F20"/>
                <w:w w:val="93"/>
              </w:rPr>
              <w:t>F-6</w:t>
            </w:r>
          </w:p>
        </w:tc>
      </w:tr>
      <w:tr>
        <w:trPr>
          <w:trHeight w:val="490"/>
        </w:trPr>
        <w:tc>
          <w:tcPr>
            <w:tcW w:w="9780" w:type="dxa"/>
            <w:vAlign w:val="bottom"/>
          </w:tcPr>
          <w:p>
            <w:pPr>
              <w:spacing w:after="0"/>
              <w:rPr>
                <w:sz w:val="20"/>
                <w:szCs w:val="20"/>
                <w:color w:val="auto"/>
              </w:rPr>
            </w:pPr>
            <w:r>
              <w:rPr>
                <w:rFonts w:ascii="Arial" w:cs="Arial" w:eastAsia="Arial" w:hAnsi="Arial"/>
                <w:sz w:val="20"/>
                <w:szCs w:val="20"/>
                <w:color w:val="231F20"/>
              </w:rPr>
              <w:t>Notes to the Financial Statements</w:t>
            </w:r>
          </w:p>
        </w:tc>
        <w:tc>
          <w:tcPr>
            <w:tcW w:w="1000" w:type="dxa"/>
            <w:vAlign w:val="bottom"/>
          </w:tcPr>
          <w:p>
            <w:pPr>
              <w:ind w:left="700"/>
              <w:spacing w:after="0"/>
              <w:rPr>
                <w:sz w:val="20"/>
                <w:szCs w:val="20"/>
                <w:color w:val="auto"/>
              </w:rPr>
            </w:pPr>
            <w:r>
              <w:rPr>
                <w:rFonts w:ascii="Arial" w:cs="Arial" w:eastAsia="Arial" w:hAnsi="Arial"/>
                <w:sz w:val="20"/>
                <w:szCs w:val="20"/>
                <w:color w:val="231F20"/>
                <w:w w:val="93"/>
              </w:rPr>
              <w:t>F-7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-1724660</wp:posOffset>
            </wp:positionV>
            <wp:extent cx="6852285" cy="1711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extLst>
                    </a:blip>
                    <a:srcRect/>
                    <a:stretch>
                      <a:fillRect/>
                    </a:stretch>
                  </pic:blipFill>
                  <pic:spPr bwMode="auto">
                    <a:xfrm>
                      <a:off x="0" y="0"/>
                      <a:ext cx="6852285" cy="1711325"/>
                    </a:xfrm>
                    <a:prstGeom prst="rect">
                      <a:avLst/>
                    </a:prstGeom>
                    <a:noFill/>
                  </pic:spPr>
                </pic:pic>
              </a:graphicData>
            </a:graphic>
          </wp:anchor>
        </w:drawing>
      </w:r>
    </w:p>
    <w:p>
      <w:pPr>
        <w:sectPr>
          <w:pgSz w:w="11880" w:h="15480" w:orient="portrait"/>
          <w:cols w:equalWidth="0" w:num="1">
            <w:col w:w="10780"/>
          </w:cols>
          <w:pgMar w:left="540" w:top="98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F-1</w:t>
      </w:r>
    </w:p>
    <w:p>
      <w:pPr>
        <w:sectPr>
          <w:pgSz w:w="11880" w:h="15480" w:orient="portrait"/>
          <w:cols w:equalWidth="0" w:num="1">
            <w:col w:w="10780"/>
          </w:cols>
          <w:pgMar w:left="540" w:top="986" w:right="560" w:bottom="0" w:gutter="0" w:footer="0" w:header="0"/>
          <w:type w:val="continuous"/>
        </w:sectPr>
      </w:pPr>
    </w:p>
    <w:bookmarkStart w:id="92" w:name="page93"/>
    <w:bookmarkEnd w:id="92"/>
    <w:p>
      <w:pPr>
        <w:ind w:left="2640"/>
        <w:spacing w:after="0"/>
        <w:rPr>
          <w:sz w:val="20"/>
          <w:szCs w:val="20"/>
          <w:color w:val="auto"/>
        </w:rPr>
      </w:pPr>
      <w:r>
        <w:rPr>
          <w:rFonts w:ascii="Arial" w:cs="Arial" w:eastAsia="Arial" w:hAnsi="Arial"/>
          <w:sz w:val="20"/>
          <w:szCs w:val="20"/>
          <w:b w:val="1"/>
          <w:bCs w:val="1"/>
          <w:color w:val="231F20"/>
        </w:rPr>
        <w:t>Report of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231F20"/>
        </w:rPr>
        <w:t>To the Board of Directors and Stockholders of AN2 Therapeutics, Inc.</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Opinion on the Financial Statements</w:t>
      </w: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20"/>
          <w:szCs w:val="20"/>
          <w:color w:val="231F20"/>
        </w:rPr>
        <w:t>We have audited the accompanying balance sheets of AN2 Therapeutics, Inc. (the “Company”) as of December 31, 2025 and 2024, and the related statements of operations and comprehensive loss, of stockholders’ equity and of cash flows for the years then ended, including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Basis for Opinion</w:t>
      </w:r>
    </w:p>
    <w:p>
      <w:pPr>
        <w:spacing w:after="0" w:line="236"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231F20"/>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231F20"/>
        </w:rPr>
        <w:t>/s/ PricewaterhouseCoopers LLP</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231F20"/>
        </w:rPr>
        <w:t>San Jose, California</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231F20"/>
        </w:rPr>
        <w:t>March 17, 2026</w:t>
      </w:r>
    </w:p>
    <w:p>
      <w:pPr>
        <w:spacing w:after="0" w:line="240" w:lineRule="exact"/>
        <w:rPr>
          <w:sz w:val="20"/>
          <w:szCs w:val="20"/>
          <w:color w:val="auto"/>
        </w:rPr>
      </w:pPr>
    </w:p>
    <w:p>
      <w:pPr>
        <w:ind w:right="300"/>
        <w:spacing w:after="0" w:line="282" w:lineRule="auto"/>
        <w:rPr>
          <w:sz w:val="20"/>
          <w:szCs w:val="20"/>
          <w:color w:val="auto"/>
        </w:rPr>
      </w:pPr>
      <w:r>
        <w:rPr>
          <w:rFonts w:ascii="Arial" w:cs="Arial" w:eastAsia="Arial" w:hAnsi="Arial"/>
          <w:sz w:val="20"/>
          <w:szCs w:val="20"/>
          <w:color w:val="231F20"/>
        </w:rPr>
        <w:t>We have served as the Company’s auditor since 2021, which includes periods before the Company became subject to SEC reporting requirements.</w:t>
      </w:r>
    </w:p>
    <w:p>
      <w:pPr>
        <w:sectPr>
          <w:pgSz w:w="11880" w:h="15480" w:orient="portrait"/>
          <w:cols w:equalWidth="0" w:num="1">
            <w:col w:w="10760"/>
          </w:cols>
          <w:pgMar w:left="540" w:top="7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F-2</w:t>
      </w:r>
    </w:p>
    <w:p>
      <w:pPr>
        <w:sectPr>
          <w:pgSz w:w="11880" w:h="15480" w:orient="portrait"/>
          <w:cols w:equalWidth="0" w:num="1">
            <w:col w:w="10760"/>
          </w:cols>
          <w:pgMar w:left="540" w:top="746" w:right="580" w:bottom="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BALANCE SHEETS</w:t>
      </w:r>
    </w:p>
    <w:p>
      <w:pPr>
        <w:jc w:val="center"/>
        <w:ind w:right="-59"/>
        <w:spacing w:after="0"/>
        <w:rPr>
          <w:sz w:val="20"/>
          <w:szCs w:val="20"/>
          <w:color w:val="auto"/>
        </w:rPr>
      </w:pPr>
      <w:r>
        <w:rPr>
          <w:rFonts w:ascii="Arial" w:cs="Arial" w:eastAsia="Arial" w:hAnsi="Arial"/>
          <w:sz w:val="20"/>
          <w:szCs w:val="20"/>
          <w:b w:val="1"/>
          <w:bCs w:val="1"/>
          <w:i w:val="1"/>
          <w:iCs w:val="1"/>
          <w:color w:val="231F20"/>
        </w:rPr>
        <w:t>(in thousands, except share and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ind w:right="360"/>
              <w:spacing w:after="0"/>
              <w:rPr>
                <w:sz w:val="20"/>
                <w:szCs w:val="20"/>
                <w:color w:val="auto"/>
              </w:rPr>
            </w:pPr>
            <w:r>
              <w:rPr>
                <w:rFonts w:ascii="Arial" w:cs="Arial" w:eastAsia="Arial" w:hAnsi="Arial"/>
                <w:sz w:val="20"/>
                <w:szCs w:val="20"/>
                <w:b w:val="1"/>
                <w:bCs w:val="1"/>
                <w:color w:val="231F20"/>
              </w:rPr>
              <w:t>December 31,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ind w:right="340"/>
              <w:spacing w:after="0"/>
              <w:rPr>
                <w:sz w:val="20"/>
                <w:szCs w:val="20"/>
                <w:color w:val="auto"/>
              </w:rPr>
            </w:pPr>
            <w:r>
              <w:rPr>
                <w:rFonts w:ascii="Arial" w:cs="Arial" w:eastAsia="Arial" w:hAnsi="Arial"/>
                <w:sz w:val="20"/>
                <w:szCs w:val="20"/>
                <w:b w:val="1"/>
                <w:bCs w:val="1"/>
                <w:color w:val="231F20"/>
              </w:rPr>
              <w:t>December 31,</w:t>
            </w:r>
          </w:p>
        </w:tc>
        <w:tc>
          <w:tcPr>
            <w:tcW w:w="0" w:type="dxa"/>
            <w:vAlign w:val="bottom"/>
          </w:tcPr>
          <w:p>
            <w:pPr>
              <w:spacing w:after="0"/>
              <w:rPr>
                <w:sz w:val="1"/>
                <w:szCs w:val="1"/>
                <w:color w:val="auto"/>
              </w:rPr>
            </w:pPr>
          </w:p>
        </w:tc>
      </w:tr>
      <w:tr>
        <w:trPr>
          <w:trHeight w:val="253"/>
        </w:trPr>
        <w:tc>
          <w:tcPr>
            <w:tcW w:w="6060" w:type="dxa"/>
            <w:vAlign w:val="bottom"/>
            <w:tcBorders>
              <w:bottom w:val="single" w:sz="8" w:color="EBECEC"/>
            </w:tcBorders>
          </w:tcPr>
          <w:p>
            <w:pPr>
              <w:spacing w:after="0"/>
              <w:rPr>
                <w:sz w:val="22"/>
                <w:szCs w:val="22"/>
                <w:color w:val="auto"/>
              </w:rPr>
            </w:pPr>
          </w:p>
        </w:tc>
        <w:tc>
          <w:tcPr>
            <w:tcW w:w="280" w:type="dxa"/>
            <w:vAlign w:val="bottom"/>
            <w:tcBorders>
              <w:bottom w:val="single" w:sz="8" w:color="EBECEC"/>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1880" w:type="dxa"/>
            <w:vAlign w:val="bottom"/>
            <w:tcBorders>
              <w:bottom w:val="single" w:sz="8" w:color="231F20"/>
            </w:tcBorders>
          </w:tcPr>
          <w:p>
            <w:pPr>
              <w:jc w:val="right"/>
              <w:ind w:right="800"/>
              <w:spacing w:after="0"/>
              <w:rPr>
                <w:sz w:val="20"/>
                <w:szCs w:val="20"/>
                <w:color w:val="auto"/>
              </w:rPr>
            </w:pPr>
            <w:r>
              <w:rPr>
                <w:rFonts w:ascii="Arial" w:cs="Arial" w:eastAsia="Arial" w:hAnsi="Arial"/>
                <w:sz w:val="20"/>
                <w:szCs w:val="20"/>
                <w:b w:val="1"/>
                <w:bCs w:val="1"/>
                <w:color w:val="231F20"/>
              </w:rPr>
              <w:t>2025</w:t>
            </w:r>
          </w:p>
        </w:tc>
        <w:tc>
          <w:tcPr>
            <w:tcW w:w="240" w:type="dxa"/>
            <w:vAlign w:val="bottom"/>
            <w:tcBorders>
              <w:bottom w:val="single" w:sz="8" w:color="EBECEC"/>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1860" w:type="dxa"/>
            <w:vAlign w:val="bottom"/>
            <w:tcBorders>
              <w:bottom w:val="single" w:sz="8" w:color="231F20"/>
            </w:tcBorders>
          </w:tcPr>
          <w:p>
            <w:pPr>
              <w:jc w:val="right"/>
              <w:ind w:right="780"/>
              <w:spacing w:after="0"/>
              <w:rPr>
                <w:sz w:val="20"/>
                <w:szCs w:val="20"/>
                <w:color w:val="auto"/>
              </w:rPr>
            </w:pPr>
            <w:r>
              <w:rPr>
                <w:rFonts w:ascii="Arial" w:cs="Arial" w:eastAsia="Arial" w:hAnsi="Arial"/>
                <w:sz w:val="20"/>
                <w:szCs w:val="20"/>
                <w:b w:val="1"/>
                <w:bCs w:val="1"/>
                <w:color w:val="231F20"/>
              </w:rPr>
              <w:t>2024</w:t>
            </w:r>
          </w:p>
        </w:tc>
        <w:tc>
          <w:tcPr>
            <w:tcW w:w="0" w:type="dxa"/>
            <w:vAlign w:val="bottom"/>
          </w:tcPr>
          <w:p>
            <w:pPr>
              <w:spacing w:after="0"/>
              <w:rPr>
                <w:sz w:val="1"/>
                <w:szCs w:val="1"/>
                <w:color w:val="auto"/>
              </w:rPr>
            </w:pPr>
          </w:p>
        </w:tc>
      </w:tr>
      <w:tr>
        <w:trPr>
          <w:trHeight w:val="239"/>
        </w:trPr>
        <w:tc>
          <w:tcPr>
            <w:tcW w:w="6060" w:type="dxa"/>
            <w:vAlign w:val="bottom"/>
            <w:shd w:val="clear" w:color="auto" w:fill="EBECEC"/>
          </w:tcPr>
          <w:p>
            <w:pPr>
              <w:spacing w:after="0"/>
              <w:rPr>
                <w:sz w:val="20"/>
                <w:szCs w:val="20"/>
                <w:color w:val="auto"/>
              </w:rPr>
            </w:pPr>
            <w:r>
              <w:rPr>
                <w:rFonts w:ascii="Arial" w:cs="Arial" w:eastAsia="Arial" w:hAnsi="Arial"/>
                <w:sz w:val="20"/>
                <w:szCs w:val="20"/>
                <w:b w:val="1"/>
                <w:bCs w:val="1"/>
                <w:color w:val="231F20"/>
              </w:rPr>
              <w:t>Assets</w:t>
            </w:r>
          </w:p>
        </w:tc>
        <w:tc>
          <w:tcPr>
            <w:tcW w:w="28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188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186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0"/>
                <w:szCs w:val="20"/>
                <w:color w:val="auto"/>
              </w:rPr>
            </w:pPr>
            <w:r>
              <w:rPr>
                <w:rFonts w:ascii="Arial" w:cs="Arial" w:eastAsia="Arial" w:hAnsi="Arial"/>
                <w:sz w:val="20"/>
                <w:szCs w:val="20"/>
                <w:color w:val="231F20"/>
              </w:rPr>
              <w:t>Current assets: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6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Cash and cash equivalents</w:t>
            </w:r>
          </w:p>
        </w:tc>
        <w:tc>
          <w:tcPr>
            <w:tcW w:w="520" w:type="dxa"/>
            <w:vAlign w:val="bottom"/>
            <w:gridSpan w:val="2"/>
            <w:shd w:val="clear" w:color="auto" w:fill="EBECEC"/>
          </w:tcPr>
          <w:p>
            <w:pPr>
              <w:jc w:val="right"/>
              <w:ind w:right="20"/>
              <w:spacing w:after="0"/>
              <w:rPr>
                <w:sz w:val="20"/>
                <w:szCs w:val="20"/>
                <w:color w:val="auto"/>
              </w:rPr>
            </w:pPr>
            <w:r>
              <w:rPr>
                <w:rFonts w:ascii="Arial" w:cs="Arial" w:eastAsia="Arial" w:hAnsi="Arial"/>
                <w:sz w:val="20"/>
                <w:szCs w:val="20"/>
                <w:color w:val="231F20"/>
              </w:rPr>
              <w:t>$</w:t>
            </w:r>
          </w:p>
        </w:tc>
        <w:tc>
          <w:tcPr>
            <w:tcW w:w="1880" w:type="dxa"/>
            <w:vAlign w:val="bottom"/>
            <w:shd w:val="clear" w:color="auto" w:fill="EBECEC"/>
          </w:tcPr>
          <w:p>
            <w:pPr>
              <w:jc w:val="right"/>
              <w:ind w:right="20"/>
              <w:spacing w:after="0"/>
              <w:rPr>
                <w:sz w:val="20"/>
                <w:szCs w:val="20"/>
                <w:color w:val="auto"/>
              </w:rPr>
            </w:pPr>
            <w:r>
              <w:rPr>
                <w:rFonts w:ascii="Arial" w:cs="Arial" w:eastAsia="Arial" w:hAnsi="Arial"/>
                <w:sz w:val="20"/>
                <w:szCs w:val="20"/>
                <w:color w:val="231F20"/>
              </w:rPr>
              <w:t>19,941</w:t>
            </w:r>
          </w:p>
        </w:tc>
        <w:tc>
          <w:tcPr>
            <w:tcW w:w="480" w:type="dxa"/>
            <w:vAlign w:val="bottom"/>
            <w:gridSpan w:val="2"/>
            <w:shd w:val="clear" w:color="auto" w:fill="EBECEC"/>
          </w:tcPr>
          <w:p>
            <w:pPr>
              <w:jc w:val="right"/>
              <w:ind w:right="20"/>
              <w:spacing w:after="0"/>
              <w:rPr>
                <w:sz w:val="20"/>
                <w:szCs w:val="20"/>
                <w:color w:val="auto"/>
              </w:rPr>
            </w:pPr>
            <w:r>
              <w:rPr>
                <w:rFonts w:ascii="Arial" w:cs="Arial" w:eastAsia="Arial" w:hAnsi="Arial"/>
                <w:sz w:val="20"/>
                <w:szCs w:val="20"/>
                <w:color w:val="231F20"/>
              </w:rPr>
              <w:t>$</w:t>
            </w:r>
          </w:p>
        </w:tc>
        <w:tc>
          <w:tcPr>
            <w:tcW w:w="186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21,351</w:t>
            </w:r>
          </w:p>
        </w:tc>
        <w:tc>
          <w:tcPr>
            <w:tcW w:w="0" w:type="dxa"/>
            <w:vAlign w:val="bottom"/>
          </w:tcPr>
          <w:p>
            <w:pPr>
              <w:spacing w:after="0"/>
              <w:rPr>
                <w:sz w:val="1"/>
                <w:szCs w:val="1"/>
                <w:color w:val="auto"/>
              </w:rPr>
            </w:pPr>
          </w:p>
        </w:tc>
      </w:tr>
      <w:tr>
        <w:trPr>
          <w:trHeight w:val="244"/>
        </w:trPr>
        <w:tc>
          <w:tcPr>
            <w:tcW w:w="6060" w:type="dxa"/>
            <w:vAlign w:val="bottom"/>
          </w:tcPr>
          <w:p>
            <w:pPr>
              <w:ind w:left="280"/>
              <w:spacing w:after="0"/>
              <w:rPr>
                <w:sz w:val="20"/>
                <w:szCs w:val="20"/>
                <w:color w:val="auto"/>
              </w:rPr>
            </w:pPr>
            <w:r>
              <w:rPr>
                <w:rFonts w:ascii="Arial" w:cs="Arial" w:eastAsia="Arial" w:hAnsi="Arial"/>
                <w:sz w:val="20"/>
                <w:szCs w:val="20"/>
                <w:color w:val="231F20"/>
              </w:rPr>
              <w:t>Short-term investments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20"/>
                <w:szCs w:val="20"/>
                <w:color w:val="231F20"/>
              </w:rPr>
              <w:t>38,060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231F20"/>
              </w:rPr>
              <w:t>62,267</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EBECEC"/>
            </w:tcBorders>
            <w:shd w:val="clear" w:color="auto" w:fill="EBECEC"/>
          </w:tcPr>
          <w:p>
            <w:pPr>
              <w:ind w:left="280"/>
              <w:spacing w:after="0"/>
              <w:rPr>
                <w:sz w:val="20"/>
                <w:szCs w:val="20"/>
                <w:color w:val="auto"/>
              </w:rPr>
            </w:pPr>
            <w:r>
              <w:rPr>
                <w:rFonts w:ascii="Arial" w:cs="Arial" w:eastAsia="Arial" w:hAnsi="Arial"/>
                <w:sz w:val="20"/>
                <w:szCs w:val="20"/>
                <w:color w:val="231F20"/>
              </w:rPr>
              <w:t>Prepaid expenses and other current assets</w:t>
            </w:r>
          </w:p>
        </w:tc>
        <w:tc>
          <w:tcPr>
            <w:tcW w:w="28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EBECEC"/>
            </w:tcBorders>
            <w:shd w:val="clear" w:color="auto" w:fill="EBECEC"/>
          </w:tcPr>
          <w:p>
            <w:pPr>
              <w:spacing w:after="0"/>
              <w:rPr>
                <w:sz w:val="22"/>
                <w:szCs w:val="22"/>
                <w:color w:val="auto"/>
              </w:rPr>
            </w:pPr>
          </w:p>
        </w:tc>
        <w:tc>
          <w:tcPr>
            <w:tcW w:w="1880" w:type="dxa"/>
            <w:vAlign w:val="bottom"/>
            <w:tcBorders>
              <w:bottom w:val="single" w:sz="8" w:color="EBECEC"/>
            </w:tcBorders>
            <w:shd w:val="clear" w:color="auto" w:fill="EBECEC"/>
          </w:tcPr>
          <w:p>
            <w:pPr>
              <w:jc w:val="right"/>
              <w:ind w:right="20"/>
              <w:spacing w:after="0"/>
              <w:rPr>
                <w:sz w:val="20"/>
                <w:szCs w:val="20"/>
                <w:color w:val="auto"/>
              </w:rPr>
            </w:pPr>
            <w:r>
              <w:rPr>
                <w:rFonts w:ascii="Arial" w:cs="Arial" w:eastAsia="Arial" w:hAnsi="Arial"/>
                <w:sz w:val="20"/>
                <w:szCs w:val="20"/>
                <w:color w:val="231F20"/>
              </w:rPr>
              <w:t>1,936</w:t>
            </w:r>
          </w:p>
        </w:tc>
        <w:tc>
          <w:tcPr>
            <w:tcW w:w="24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231F20"/>
            </w:tcBorders>
            <w:shd w:val="clear" w:color="auto" w:fill="EBECEC"/>
          </w:tcPr>
          <w:p>
            <w:pPr>
              <w:spacing w:after="0"/>
              <w:rPr>
                <w:sz w:val="22"/>
                <w:szCs w:val="22"/>
                <w:color w:val="auto"/>
              </w:rPr>
            </w:pPr>
          </w:p>
        </w:tc>
        <w:tc>
          <w:tcPr>
            <w:tcW w:w="186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2,644</w:t>
            </w:r>
          </w:p>
        </w:tc>
        <w:tc>
          <w:tcPr>
            <w:tcW w:w="0" w:type="dxa"/>
            <w:vAlign w:val="bottom"/>
          </w:tcPr>
          <w:p>
            <w:pPr>
              <w:spacing w:after="0"/>
              <w:rPr>
                <w:sz w:val="1"/>
                <w:szCs w:val="1"/>
                <w:color w:val="auto"/>
              </w:rPr>
            </w:pPr>
          </w:p>
        </w:tc>
      </w:tr>
      <w:tr>
        <w:trPr>
          <w:trHeight w:val="219"/>
        </w:trPr>
        <w:tc>
          <w:tcPr>
            <w:tcW w:w="6060" w:type="dxa"/>
            <w:vAlign w:val="bottom"/>
          </w:tcPr>
          <w:p>
            <w:pPr>
              <w:ind w:left="560"/>
              <w:spacing w:after="0" w:line="219" w:lineRule="exact"/>
              <w:rPr>
                <w:sz w:val="20"/>
                <w:szCs w:val="20"/>
                <w:color w:val="auto"/>
              </w:rPr>
            </w:pPr>
            <w:r>
              <w:rPr>
                <w:rFonts w:ascii="Arial" w:cs="Arial" w:eastAsia="Arial" w:hAnsi="Arial"/>
                <w:sz w:val="20"/>
                <w:szCs w:val="20"/>
                <w:color w:val="231F20"/>
              </w:rPr>
              <w:t>Total current assets</w:t>
            </w:r>
          </w:p>
        </w:tc>
        <w:tc>
          <w:tcPr>
            <w:tcW w:w="280" w:type="dxa"/>
            <w:vAlign w:val="bottom"/>
          </w:tcPr>
          <w:p>
            <w:pPr>
              <w:spacing w:after="0"/>
              <w:rPr>
                <w:sz w:val="19"/>
                <w:szCs w:val="19"/>
                <w:color w:val="auto"/>
              </w:rPr>
            </w:pPr>
          </w:p>
        </w:tc>
        <w:tc>
          <w:tcPr>
            <w:tcW w:w="240" w:type="dxa"/>
            <w:vAlign w:val="bottom"/>
            <w:tcBorders>
              <w:top w:val="single" w:sz="8" w:color="231F20"/>
            </w:tcBorders>
          </w:tcPr>
          <w:p>
            <w:pPr>
              <w:spacing w:after="0"/>
              <w:rPr>
                <w:sz w:val="19"/>
                <w:szCs w:val="19"/>
                <w:color w:val="auto"/>
              </w:rPr>
            </w:pPr>
          </w:p>
        </w:tc>
        <w:tc>
          <w:tcPr>
            <w:tcW w:w="1880" w:type="dxa"/>
            <w:vAlign w:val="bottom"/>
            <w:tcBorders>
              <w:top w:val="single" w:sz="8" w:color="231F20"/>
            </w:tcBorders>
          </w:tcPr>
          <w:p>
            <w:pPr>
              <w:jc w:val="right"/>
              <w:ind w:right="20"/>
              <w:spacing w:after="0" w:line="219" w:lineRule="exact"/>
              <w:rPr>
                <w:sz w:val="20"/>
                <w:szCs w:val="20"/>
                <w:color w:val="auto"/>
              </w:rPr>
            </w:pPr>
            <w:r>
              <w:rPr>
                <w:rFonts w:ascii="Arial" w:cs="Arial" w:eastAsia="Arial" w:hAnsi="Arial"/>
                <w:sz w:val="20"/>
                <w:szCs w:val="20"/>
                <w:color w:val="231F20"/>
              </w:rPr>
              <w:t>59,937</w:t>
            </w:r>
          </w:p>
        </w:tc>
        <w:tc>
          <w:tcPr>
            <w:tcW w:w="240" w:type="dxa"/>
            <w:vAlign w:val="bottom"/>
          </w:tcPr>
          <w:p>
            <w:pPr>
              <w:spacing w:after="0"/>
              <w:rPr>
                <w:sz w:val="19"/>
                <w:szCs w:val="19"/>
                <w:color w:val="auto"/>
              </w:rPr>
            </w:pPr>
          </w:p>
        </w:tc>
        <w:tc>
          <w:tcPr>
            <w:tcW w:w="240" w:type="dxa"/>
            <w:vAlign w:val="bottom"/>
            <w:tcBorders>
              <w:top w:val="single" w:sz="8" w:color="231F20"/>
            </w:tcBorders>
          </w:tcPr>
          <w:p>
            <w:pPr>
              <w:spacing w:after="0"/>
              <w:rPr>
                <w:sz w:val="19"/>
                <w:szCs w:val="19"/>
                <w:color w:val="auto"/>
              </w:rPr>
            </w:pPr>
          </w:p>
        </w:tc>
        <w:tc>
          <w:tcPr>
            <w:tcW w:w="1860" w:type="dxa"/>
            <w:vAlign w:val="bottom"/>
            <w:tcBorders>
              <w:top w:val="single" w:sz="8" w:color="231F20"/>
            </w:tcBorders>
          </w:tcPr>
          <w:p>
            <w:pPr>
              <w:jc w:val="right"/>
              <w:spacing w:after="0" w:line="219" w:lineRule="exact"/>
              <w:rPr>
                <w:sz w:val="20"/>
                <w:szCs w:val="20"/>
                <w:color w:val="auto"/>
              </w:rPr>
            </w:pPr>
            <w:r>
              <w:rPr>
                <w:rFonts w:ascii="Arial" w:cs="Arial" w:eastAsia="Arial" w:hAnsi="Arial"/>
                <w:sz w:val="20"/>
                <w:szCs w:val="20"/>
                <w:color w:val="231F20"/>
              </w:rPr>
              <w:t>86,262</w:t>
            </w:r>
          </w:p>
        </w:tc>
        <w:tc>
          <w:tcPr>
            <w:tcW w:w="0" w:type="dxa"/>
            <w:vAlign w:val="bottom"/>
          </w:tcPr>
          <w:p>
            <w:pPr>
              <w:spacing w:after="0"/>
              <w:rPr>
                <w:sz w:val="1"/>
                <w:szCs w:val="1"/>
                <w:color w:val="auto"/>
              </w:rPr>
            </w:pPr>
          </w:p>
        </w:tc>
      </w:tr>
      <w:tr>
        <w:trPr>
          <w:trHeight w:val="244"/>
        </w:trPr>
        <w:tc>
          <w:tcPr>
            <w:tcW w:w="6060" w:type="dxa"/>
            <w:vAlign w:val="bottom"/>
            <w:shd w:val="clear" w:color="auto" w:fill="EBECEC"/>
          </w:tcPr>
          <w:p>
            <w:pPr>
              <w:spacing w:after="0"/>
              <w:rPr>
                <w:sz w:val="20"/>
                <w:szCs w:val="20"/>
                <w:color w:val="auto"/>
              </w:rPr>
            </w:pPr>
            <w:r>
              <w:rPr>
                <w:rFonts w:ascii="Arial" w:cs="Arial" w:eastAsia="Arial" w:hAnsi="Arial"/>
                <w:sz w:val="20"/>
                <w:szCs w:val="20"/>
                <w:color w:val="231F20"/>
              </w:rPr>
              <w:t>Long-term investments</w:t>
            </w:r>
          </w:p>
        </w:tc>
        <w:tc>
          <w:tcPr>
            <w:tcW w:w="28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80" w:type="dxa"/>
            <w:vAlign w:val="bottom"/>
            <w:shd w:val="clear" w:color="auto" w:fill="EBECEC"/>
          </w:tcPr>
          <w:p>
            <w:pPr>
              <w:jc w:val="right"/>
              <w:ind w:right="20"/>
              <w:spacing w:after="0"/>
              <w:rPr>
                <w:sz w:val="20"/>
                <w:szCs w:val="20"/>
                <w:color w:val="auto"/>
              </w:rPr>
            </w:pPr>
            <w:r>
              <w:rPr>
                <w:rFonts w:ascii="Arial" w:cs="Arial" w:eastAsia="Arial" w:hAnsi="Arial"/>
                <w:sz w:val="20"/>
                <w:szCs w:val="20"/>
                <w:color w:val="231F20"/>
              </w:rPr>
              <w:t>2,013</w:t>
            </w:r>
          </w:p>
        </w:tc>
        <w:tc>
          <w:tcPr>
            <w:tcW w:w="24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6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5,021</w:t>
            </w:r>
          </w:p>
        </w:tc>
        <w:tc>
          <w:tcPr>
            <w:tcW w:w="0" w:type="dxa"/>
            <w:vAlign w:val="bottom"/>
          </w:tcPr>
          <w:p>
            <w:pPr>
              <w:spacing w:after="0"/>
              <w:rPr>
                <w:sz w:val="1"/>
                <w:szCs w:val="1"/>
                <w:color w:val="auto"/>
              </w:rPr>
            </w:pPr>
          </w:p>
        </w:tc>
      </w:tr>
      <w:tr>
        <w:trPr>
          <w:trHeight w:val="244"/>
        </w:trPr>
        <w:tc>
          <w:tcPr>
            <w:tcW w:w="6060" w:type="dxa"/>
            <w:vAlign w:val="bottom"/>
            <w:tcBorders>
              <w:bottom w:val="single" w:sz="8" w:color="EBECEC"/>
            </w:tcBorders>
          </w:tcPr>
          <w:p>
            <w:pPr>
              <w:spacing w:after="0"/>
              <w:rPr>
                <w:sz w:val="20"/>
                <w:szCs w:val="20"/>
                <w:color w:val="auto"/>
              </w:rPr>
            </w:pPr>
            <w:r>
              <w:rPr>
                <w:rFonts w:ascii="Arial" w:cs="Arial" w:eastAsia="Arial" w:hAnsi="Arial"/>
                <w:sz w:val="20"/>
                <w:szCs w:val="20"/>
                <w:color w:val="231F20"/>
              </w:rPr>
              <w:t>Other assets, long-term</w:t>
            </w:r>
          </w:p>
        </w:tc>
        <w:tc>
          <w:tcPr>
            <w:tcW w:w="280" w:type="dxa"/>
            <w:vAlign w:val="bottom"/>
            <w:tcBorders>
              <w:bottom w:val="single" w:sz="8" w:color="EBECEC"/>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880" w:type="dxa"/>
            <w:vAlign w:val="bottom"/>
            <w:tcBorders>
              <w:bottom w:val="single" w:sz="8" w:color="231F20"/>
            </w:tcBorders>
          </w:tcPr>
          <w:p>
            <w:pPr>
              <w:jc w:val="right"/>
              <w:ind w:right="20"/>
              <w:spacing w:after="0"/>
              <w:rPr>
                <w:sz w:val="20"/>
                <w:szCs w:val="20"/>
                <w:color w:val="auto"/>
              </w:rPr>
            </w:pPr>
            <w:r>
              <w:rPr>
                <w:rFonts w:ascii="Arial" w:cs="Arial" w:eastAsia="Arial" w:hAnsi="Arial"/>
                <w:sz w:val="20"/>
                <w:szCs w:val="20"/>
                <w:color w:val="231F20"/>
              </w:rPr>
              <w:t>—</w:t>
            </w:r>
          </w:p>
        </w:tc>
        <w:tc>
          <w:tcPr>
            <w:tcW w:w="240" w:type="dxa"/>
            <w:vAlign w:val="bottom"/>
            <w:tcBorders>
              <w:bottom w:val="single" w:sz="8" w:color="EBECEC"/>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8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804</w:t>
            </w:r>
          </w:p>
        </w:tc>
        <w:tc>
          <w:tcPr>
            <w:tcW w:w="0" w:type="dxa"/>
            <w:vAlign w:val="bottom"/>
          </w:tcPr>
          <w:p>
            <w:pPr>
              <w:spacing w:after="0"/>
              <w:rPr>
                <w:sz w:val="1"/>
                <w:szCs w:val="1"/>
                <w:color w:val="auto"/>
              </w:rPr>
            </w:pPr>
          </w:p>
        </w:tc>
      </w:tr>
      <w:tr>
        <w:trPr>
          <w:trHeight w:val="259"/>
        </w:trPr>
        <w:tc>
          <w:tcPr>
            <w:tcW w:w="6060" w:type="dxa"/>
            <w:vAlign w:val="bottom"/>
            <w:tcBorders>
              <w:bottom w:val="single" w:sz="8" w:color="EBECEC"/>
            </w:tcBorders>
            <w:shd w:val="clear" w:color="auto" w:fill="EBECEC"/>
          </w:tcPr>
          <w:p>
            <w:pPr>
              <w:ind w:left="560"/>
              <w:spacing w:after="0"/>
              <w:rPr>
                <w:sz w:val="20"/>
                <w:szCs w:val="20"/>
                <w:color w:val="auto"/>
              </w:rPr>
            </w:pPr>
            <w:r>
              <w:rPr>
                <w:rFonts w:ascii="Arial" w:cs="Arial" w:eastAsia="Arial" w:hAnsi="Arial"/>
                <w:sz w:val="20"/>
                <w:szCs w:val="20"/>
                <w:color w:val="231F20"/>
              </w:rPr>
              <w:t>Total assets</w:t>
            </w:r>
          </w:p>
        </w:tc>
        <w:tc>
          <w:tcPr>
            <w:tcW w:w="28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231F20"/>
            </w:tcBorders>
            <w:shd w:val="clear" w:color="auto" w:fill="EBECEC"/>
          </w:tcPr>
          <w:p>
            <w:pPr>
              <w:jc w:val="right"/>
              <w:ind w:right="20"/>
              <w:spacing w:after="0"/>
              <w:rPr>
                <w:sz w:val="20"/>
                <w:szCs w:val="20"/>
                <w:color w:val="auto"/>
              </w:rPr>
            </w:pPr>
            <w:r>
              <w:rPr>
                <w:rFonts w:ascii="Arial" w:cs="Arial" w:eastAsia="Arial" w:hAnsi="Arial"/>
                <w:sz w:val="20"/>
                <w:szCs w:val="20"/>
                <w:color w:val="231F20"/>
                <w:w w:val="89"/>
              </w:rPr>
              <w:t>$</w:t>
            </w:r>
          </w:p>
        </w:tc>
        <w:tc>
          <w:tcPr>
            <w:tcW w:w="1880" w:type="dxa"/>
            <w:vAlign w:val="bottom"/>
            <w:tcBorders>
              <w:bottom w:val="single" w:sz="8" w:color="231F20"/>
            </w:tcBorders>
            <w:shd w:val="clear" w:color="auto" w:fill="EBECEC"/>
          </w:tcPr>
          <w:p>
            <w:pPr>
              <w:jc w:val="right"/>
              <w:ind w:right="20"/>
              <w:spacing w:after="0"/>
              <w:rPr>
                <w:sz w:val="20"/>
                <w:szCs w:val="20"/>
                <w:color w:val="auto"/>
              </w:rPr>
            </w:pPr>
            <w:r>
              <w:rPr>
                <w:rFonts w:ascii="Arial" w:cs="Arial" w:eastAsia="Arial" w:hAnsi="Arial"/>
                <w:sz w:val="20"/>
                <w:szCs w:val="20"/>
                <w:color w:val="231F20"/>
              </w:rPr>
              <w:t>61,950</w:t>
            </w:r>
          </w:p>
        </w:tc>
        <w:tc>
          <w:tcPr>
            <w:tcW w:w="24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231F20"/>
            </w:tcBorders>
            <w:shd w:val="clear" w:color="auto" w:fill="EBECEC"/>
          </w:tcPr>
          <w:p>
            <w:pPr>
              <w:jc w:val="right"/>
              <w:ind w:right="20"/>
              <w:spacing w:after="0"/>
              <w:rPr>
                <w:sz w:val="20"/>
                <w:szCs w:val="20"/>
                <w:color w:val="auto"/>
              </w:rPr>
            </w:pPr>
            <w:r>
              <w:rPr>
                <w:rFonts w:ascii="Arial" w:cs="Arial" w:eastAsia="Arial" w:hAnsi="Arial"/>
                <w:sz w:val="20"/>
                <w:szCs w:val="20"/>
                <w:color w:val="231F20"/>
                <w:w w:val="89"/>
              </w:rPr>
              <w:t>$</w:t>
            </w:r>
          </w:p>
        </w:tc>
        <w:tc>
          <w:tcPr>
            <w:tcW w:w="186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92,087</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20"/>
                <w:szCs w:val="20"/>
                <w:b w:val="1"/>
                <w:bCs w:val="1"/>
                <w:color w:val="231F20"/>
              </w:rPr>
              <w:t>Liabilities and stockholders’ equity</w:t>
            </w:r>
          </w:p>
        </w:tc>
        <w:tc>
          <w:tcPr>
            <w:tcW w:w="2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8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60" w:type="dxa"/>
            <w:vAlign w:val="bottom"/>
            <w:shd w:val="clear" w:color="auto" w:fill="EBECEC"/>
          </w:tcPr>
          <w:p>
            <w:pPr>
              <w:spacing w:after="0"/>
              <w:rPr>
                <w:sz w:val="20"/>
                <w:szCs w:val="20"/>
                <w:color w:val="auto"/>
              </w:rPr>
            </w:pPr>
            <w:r>
              <w:rPr>
                <w:rFonts w:ascii="Arial" w:cs="Arial" w:eastAsia="Arial" w:hAnsi="Arial"/>
                <w:sz w:val="20"/>
                <w:szCs w:val="20"/>
                <w:color w:val="231F20"/>
              </w:rPr>
              <w:t>Current liabilities:</w:t>
            </w:r>
          </w:p>
        </w:tc>
        <w:tc>
          <w:tcPr>
            <w:tcW w:w="28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8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6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60" w:type="dxa"/>
            <w:vAlign w:val="bottom"/>
          </w:tcPr>
          <w:p>
            <w:pPr>
              <w:ind w:left="280"/>
              <w:spacing w:after="0"/>
              <w:rPr>
                <w:sz w:val="20"/>
                <w:szCs w:val="20"/>
                <w:color w:val="auto"/>
              </w:rPr>
            </w:pPr>
            <w:r>
              <w:rPr>
                <w:rFonts w:ascii="Arial" w:cs="Arial" w:eastAsia="Arial" w:hAnsi="Arial"/>
                <w:sz w:val="20"/>
                <w:szCs w:val="20"/>
                <w:color w:val="231F20"/>
              </w:rPr>
              <w:t>Accounts payable</w:t>
            </w:r>
          </w:p>
        </w:tc>
        <w:tc>
          <w:tcPr>
            <w:tcW w:w="520" w:type="dxa"/>
            <w:vAlign w:val="bottom"/>
            <w:gridSpan w:val="2"/>
          </w:tcPr>
          <w:p>
            <w:pPr>
              <w:jc w:val="right"/>
              <w:ind w:right="20"/>
              <w:spacing w:after="0"/>
              <w:rPr>
                <w:sz w:val="20"/>
                <w:szCs w:val="20"/>
                <w:color w:val="auto"/>
              </w:rPr>
            </w:pPr>
            <w:r>
              <w:rPr>
                <w:rFonts w:ascii="Arial" w:cs="Arial" w:eastAsia="Arial" w:hAnsi="Arial"/>
                <w:sz w:val="20"/>
                <w:szCs w:val="20"/>
                <w:color w:val="231F20"/>
              </w:rPr>
              <w:t>$</w:t>
            </w:r>
          </w:p>
        </w:tc>
        <w:tc>
          <w:tcPr>
            <w:tcW w:w="1880" w:type="dxa"/>
            <w:vAlign w:val="bottom"/>
          </w:tcPr>
          <w:p>
            <w:pPr>
              <w:jc w:val="right"/>
              <w:ind w:right="20"/>
              <w:spacing w:after="0"/>
              <w:rPr>
                <w:sz w:val="20"/>
                <w:szCs w:val="20"/>
                <w:color w:val="auto"/>
              </w:rPr>
            </w:pPr>
            <w:r>
              <w:rPr>
                <w:rFonts w:ascii="Arial" w:cs="Arial" w:eastAsia="Arial" w:hAnsi="Arial"/>
                <w:sz w:val="20"/>
                <w:szCs w:val="20"/>
                <w:color w:val="231F20"/>
              </w:rPr>
              <w:t>3,021</w:t>
            </w:r>
          </w:p>
        </w:tc>
        <w:tc>
          <w:tcPr>
            <w:tcW w:w="480" w:type="dxa"/>
            <w:vAlign w:val="bottom"/>
            <w:gridSpan w:val="2"/>
          </w:tcPr>
          <w:p>
            <w:pPr>
              <w:jc w:val="right"/>
              <w:ind w:right="20"/>
              <w:spacing w:after="0"/>
              <w:rPr>
                <w:sz w:val="20"/>
                <w:szCs w:val="20"/>
                <w:color w:val="auto"/>
              </w:rPr>
            </w:pPr>
            <w:r>
              <w:rPr>
                <w:rFonts w:ascii="Arial" w:cs="Arial" w:eastAsia="Arial" w:hAnsi="Arial"/>
                <w:sz w:val="20"/>
                <w:szCs w:val="20"/>
                <w:color w:val="231F20"/>
              </w:rPr>
              <w:t>$</w:t>
            </w:r>
          </w:p>
        </w:tc>
        <w:tc>
          <w:tcPr>
            <w:tcW w:w="1860" w:type="dxa"/>
            <w:vAlign w:val="bottom"/>
          </w:tcPr>
          <w:p>
            <w:pPr>
              <w:jc w:val="right"/>
              <w:spacing w:after="0"/>
              <w:rPr>
                <w:sz w:val="20"/>
                <w:szCs w:val="20"/>
                <w:color w:val="auto"/>
              </w:rPr>
            </w:pPr>
            <w:r>
              <w:rPr>
                <w:rFonts w:ascii="Arial" w:cs="Arial" w:eastAsia="Arial" w:hAnsi="Arial"/>
                <w:sz w:val="20"/>
                <w:szCs w:val="20"/>
                <w:color w:val="231F20"/>
              </w:rPr>
              <w:t>3,317</w:t>
            </w:r>
          </w:p>
        </w:tc>
        <w:tc>
          <w:tcPr>
            <w:tcW w:w="0" w:type="dxa"/>
            <w:vAlign w:val="bottom"/>
          </w:tcPr>
          <w:p>
            <w:pPr>
              <w:spacing w:after="0"/>
              <w:rPr>
                <w:sz w:val="1"/>
                <w:szCs w:val="1"/>
                <w:color w:val="auto"/>
              </w:rPr>
            </w:pPr>
          </w:p>
        </w:tc>
      </w:tr>
      <w:tr>
        <w:trPr>
          <w:trHeight w:val="244"/>
        </w:trPr>
        <w:tc>
          <w:tcPr>
            <w:tcW w:w="606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Accrued compensation</w:t>
            </w:r>
          </w:p>
        </w:tc>
        <w:tc>
          <w:tcPr>
            <w:tcW w:w="28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80" w:type="dxa"/>
            <w:vAlign w:val="bottom"/>
            <w:shd w:val="clear" w:color="auto" w:fill="EBECEC"/>
          </w:tcPr>
          <w:p>
            <w:pPr>
              <w:jc w:val="right"/>
              <w:ind w:right="20"/>
              <w:spacing w:after="0"/>
              <w:rPr>
                <w:sz w:val="20"/>
                <w:szCs w:val="20"/>
                <w:color w:val="auto"/>
              </w:rPr>
            </w:pPr>
            <w:r>
              <w:rPr>
                <w:rFonts w:ascii="Arial" w:cs="Arial" w:eastAsia="Arial" w:hAnsi="Arial"/>
                <w:sz w:val="20"/>
                <w:szCs w:val="20"/>
                <w:color w:val="231F20"/>
              </w:rPr>
              <w:t>2,418</w:t>
            </w:r>
          </w:p>
        </w:tc>
        <w:tc>
          <w:tcPr>
            <w:tcW w:w="24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6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1,676</w:t>
            </w:r>
          </w:p>
        </w:tc>
        <w:tc>
          <w:tcPr>
            <w:tcW w:w="0" w:type="dxa"/>
            <w:vAlign w:val="bottom"/>
          </w:tcPr>
          <w:p>
            <w:pPr>
              <w:spacing w:after="0"/>
              <w:rPr>
                <w:sz w:val="1"/>
                <w:szCs w:val="1"/>
                <w:color w:val="auto"/>
              </w:rPr>
            </w:pPr>
          </w:p>
        </w:tc>
      </w:tr>
      <w:tr>
        <w:trPr>
          <w:trHeight w:val="244"/>
        </w:trPr>
        <w:tc>
          <w:tcPr>
            <w:tcW w:w="6060" w:type="dxa"/>
            <w:vAlign w:val="bottom"/>
          </w:tcPr>
          <w:p>
            <w:pPr>
              <w:ind w:left="280"/>
              <w:spacing w:after="0"/>
              <w:rPr>
                <w:sz w:val="20"/>
                <w:szCs w:val="20"/>
                <w:color w:val="auto"/>
              </w:rPr>
            </w:pPr>
            <w:r>
              <w:rPr>
                <w:rFonts w:ascii="Arial" w:cs="Arial" w:eastAsia="Arial" w:hAnsi="Arial"/>
                <w:sz w:val="20"/>
                <w:szCs w:val="20"/>
                <w:color w:val="231F20"/>
              </w:rPr>
              <w:t>Accrued liabilities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20"/>
                <w:szCs w:val="20"/>
                <w:color w:val="231F20"/>
              </w:rPr>
              <w:t>2,052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231F20"/>
              </w:rPr>
              <w:t>4,454</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EBECEC"/>
            </w:tcBorders>
            <w:shd w:val="clear" w:color="auto" w:fill="EBECEC"/>
          </w:tcPr>
          <w:p>
            <w:pPr>
              <w:ind w:left="280"/>
              <w:spacing w:after="0"/>
              <w:rPr>
                <w:sz w:val="20"/>
                <w:szCs w:val="20"/>
                <w:color w:val="auto"/>
              </w:rPr>
            </w:pPr>
            <w:r>
              <w:rPr>
                <w:rFonts w:ascii="Arial" w:cs="Arial" w:eastAsia="Arial" w:hAnsi="Arial"/>
                <w:sz w:val="20"/>
                <w:szCs w:val="20"/>
                <w:color w:val="231F20"/>
              </w:rPr>
              <w:t>Other current liabilities</w:t>
            </w:r>
          </w:p>
        </w:tc>
        <w:tc>
          <w:tcPr>
            <w:tcW w:w="28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231F20"/>
            </w:tcBorders>
            <w:shd w:val="clear" w:color="auto" w:fill="EBECEC"/>
          </w:tcPr>
          <w:p>
            <w:pPr>
              <w:spacing w:after="0"/>
              <w:rPr>
                <w:sz w:val="22"/>
                <w:szCs w:val="22"/>
                <w:color w:val="auto"/>
              </w:rPr>
            </w:pPr>
          </w:p>
        </w:tc>
        <w:tc>
          <w:tcPr>
            <w:tcW w:w="1880" w:type="dxa"/>
            <w:vAlign w:val="bottom"/>
            <w:tcBorders>
              <w:bottom w:val="single" w:sz="8" w:color="231F20"/>
            </w:tcBorders>
            <w:shd w:val="clear" w:color="auto" w:fill="EBECEC"/>
          </w:tcPr>
          <w:p>
            <w:pPr>
              <w:jc w:val="right"/>
              <w:ind w:right="20"/>
              <w:spacing w:after="0"/>
              <w:rPr>
                <w:sz w:val="20"/>
                <w:szCs w:val="20"/>
                <w:color w:val="auto"/>
              </w:rPr>
            </w:pPr>
            <w:r>
              <w:rPr>
                <w:rFonts w:ascii="Arial" w:cs="Arial" w:eastAsia="Arial" w:hAnsi="Arial"/>
                <w:sz w:val="20"/>
                <w:szCs w:val="20"/>
                <w:color w:val="231F20"/>
              </w:rPr>
              <w:t>1,229</w:t>
            </w:r>
          </w:p>
        </w:tc>
        <w:tc>
          <w:tcPr>
            <w:tcW w:w="24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231F20"/>
            </w:tcBorders>
            <w:shd w:val="clear" w:color="auto" w:fill="EBECEC"/>
          </w:tcPr>
          <w:p>
            <w:pPr>
              <w:spacing w:after="0"/>
              <w:rPr>
                <w:sz w:val="22"/>
                <w:szCs w:val="22"/>
                <w:color w:val="auto"/>
              </w:rPr>
            </w:pPr>
          </w:p>
        </w:tc>
        <w:tc>
          <w:tcPr>
            <w:tcW w:w="186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791</w:t>
            </w:r>
          </w:p>
        </w:tc>
        <w:tc>
          <w:tcPr>
            <w:tcW w:w="0" w:type="dxa"/>
            <w:vAlign w:val="bottom"/>
          </w:tcPr>
          <w:p>
            <w:pPr>
              <w:spacing w:after="0"/>
              <w:rPr>
                <w:sz w:val="1"/>
                <w:szCs w:val="1"/>
                <w:color w:val="auto"/>
              </w:rPr>
            </w:pPr>
          </w:p>
        </w:tc>
      </w:tr>
      <w:tr>
        <w:trPr>
          <w:trHeight w:val="219"/>
        </w:trPr>
        <w:tc>
          <w:tcPr>
            <w:tcW w:w="6060" w:type="dxa"/>
            <w:vAlign w:val="bottom"/>
          </w:tcPr>
          <w:p>
            <w:pPr>
              <w:ind w:left="560"/>
              <w:spacing w:after="0" w:line="219" w:lineRule="exact"/>
              <w:rPr>
                <w:sz w:val="20"/>
                <w:szCs w:val="20"/>
                <w:color w:val="auto"/>
              </w:rPr>
            </w:pPr>
            <w:r>
              <w:rPr>
                <w:rFonts w:ascii="Arial" w:cs="Arial" w:eastAsia="Arial" w:hAnsi="Arial"/>
                <w:sz w:val="20"/>
                <w:szCs w:val="20"/>
                <w:color w:val="231F20"/>
              </w:rPr>
              <w:t>Total current liabilities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ind w:right="20"/>
              <w:spacing w:after="0" w:line="219" w:lineRule="exact"/>
              <w:rPr>
                <w:sz w:val="20"/>
                <w:szCs w:val="20"/>
                <w:color w:val="auto"/>
              </w:rPr>
            </w:pPr>
            <w:r>
              <w:rPr>
                <w:rFonts w:ascii="Arial" w:cs="Arial" w:eastAsia="Arial" w:hAnsi="Arial"/>
                <w:sz w:val="20"/>
                <w:szCs w:val="20"/>
                <w:color w:val="231F20"/>
              </w:rPr>
              <w:t>8,720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line="219" w:lineRule="exact"/>
              <w:rPr>
                <w:sz w:val="20"/>
                <w:szCs w:val="20"/>
                <w:color w:val="auto"/>
              </w:rPr>
            </w:pPr>
            <w:r>
              <w:rPr>
                <w:rFonts w:ascii="Arial" w:cs="Arial" w:eastAsia="Arial" w:hAnsi="Arial"/>
                <w:sz w:val="20"/>
                <w:szCs w:val="20"/>
                <w:color w:val="231F20"/>
              </w:rPr>
              <w:t>10,238</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EBECEC"/>
            </w:tcBorders>
            <w:shd w:val="clear" w:color="auto" w:fill="EBECEC"/>
          </w:tcPr>
          <w:p>
            <w:pPr>
              <w:ind w:left="280"/>
              <w:spacing w:after="0"/>
              <w:rPr>
                <w:sz w:val="20"/>
                <w:szCs w:val="20"/>
                <w:color w:val="auto"/>
              </w:rPr>
            </w:pPr>
            <w:r>
              <w:rPr>
                <w:rFonts w:ascii="Arial" w:cs="Arial" w:eastAsia="Arial" w:hAnsi="Arial"/>
                <w:sz w:val="20"/>
                <w:szCs w:val="20"/>
                <w:color w:val="231F20"/>
              </w:rPr>
              <w:t>Other non-current liabilities</w:t>
            </w:r>
          </w:p>
        </w:tc>
        <w:tc>
          <w:tcPr>
            <w:tcW w:w="28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231F20"/>
            </w:tcBorders>
            <w:shd w:val="clear" w:color="auto" w:fill="EBECEC"/>
          </w:tcPr>
          <w:p>
            <w:pPr>
              <w:spacing w:after="0"/>
              <w:rPr>
                <w:sz w:val="22"/>
                <w:szCs w:val="22"/>
                <w:color w:val="auto"/>
              </w:rPr>
            </w:pPr>
          </w:p>
        </w:tc>
        <w:tc>
          <w:tcPr>
            <w:tcW w:w="1880" w:type="dxa"/>
            <w:vAlign w:val="bottom"/>
            <w:tcBorders>
              <w:bottom w:val="single" w:sz="8" w:color="231F20"/>
            </w:tcBorders>
            <w:shd w:val="clear" w:color="auto" w:fill="EBECEC"/>
          </w:tcPr>
          <w:p>
            <w:pPr>
              <w:jc w:val="right"/>
              <w:ind w:right="20"/>
              <w:spacing w:after="0"/>
              <w:rPr>
                <w:sz w:val="20"/>
                <w:szCs w:val="20"/>
                <w:color w:val="auto"/>
              </w:rPr>
            </w:pPr>
            <w:r>
              <w:rPr>
                <w:rFonts w:ascii="Arial" w:cs="Arial" w:eastAsia="Arial" w:hAnsi="Arial"/>
                <w:sz w:val="20"/>
                <w:szCs w:val="20"/>
                <w:color w:val="231F20"/>
              </w:rPr>
              <w:t>170</w:t>
            </w:r>
          </w:p>
        </w:tc>
        <w:tc>
          <w:tcPr>
            <w:tcW w:w="24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231F20"/>
            </w:tcBorders>
            <w:shd w:val="clear" w:color="auto" w:fill="EBECEC"/>
          </w:tcPr>
          <w:p>
            <w:pPr>
              <w:spacing w:after="0"/>
              <w:rPr>
                <w:sz w:val="22"/>
                <w:szCs w:val="22"/>
                <w:color w:val="auto"/>
              </w:rPr>
            </w:pPr>
          </w:p>
        </w:tc>
        <w:tc>
          <w:tcPr>
            <w:tcW w:w="186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19"/>
        </w:trPr>
        <w:tc>
          <w:tcPr>
            <w:tcW w:w="6060" w:type="dxa"/>
            <w:vAlign w:val="bottom"/>
          </w:tcPr>
          <w:p>
            <w:pPr>
              <w:ind w:left="560"/>
              <w:spacing w:after="0" w:line="219" w:lineRule="exact"/>
              <w:rPr>
                <w:sz w:val="20"/>
                <w:szCs w:val="20"/>
                <w:color w:val="auto"/>
              </w:rPr>
            </w:pPr>
            <w:r>
              <w:rPr>
                <w:rFonts w:ascii="Arial" w:cs="Arial" w:eastAsia="Arial" w:hAnsi="Arial"/>
                <w:sz w:val="20"/>
                <w:szCs w:val="20"/>
                <w:color w:val="231F20"/>
              </w:rPr>
              <w:t>Total liabilities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ind w:right="20"/>
              <w:spacing w:after="0" w:line="219" w:lineRule="exact"/>
              <w:rPr>
                <w:sz w:val="20"/>
                <w:szCs w:val="20"/>
                <w:color w:val="auto"/>
              </w:rPr>
            </w:pPr>
            <w:r>
              <w:rPr>
                <w:rFonts w:ascii="Arial" w:cs="Arial" w:eastAsia="Arial" w:hAnsi="Arial"/>
                <w:sz w:val="20"/>
                <w:szCs w:val="20"/>
                <w:color w:val="231F20"/>
              </w:rPr>
              <w:t>8,890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line="219" w:lineRule="exact"/>
              <w:rPr>
                <w:sz w:val="20"/>
                <w:szCs w:val="20"/>
                <w:color w:val="auto"/>
              </w:rPr>
            </w:pPr>
            <w:r>
              <w:rPr>
                <w:rFonts w:ascii="Arial" w:cs="Arial" w:eastAsia="Arial" w:hAnsi="Arial"/>
                <w:sz w:val="20"/>
                <w:szCs w:val="20"/>
                <w:color w:val="231F20"/>
              </w:rPr>
              <w:t>10,238</w:t>
            </w:r>
          </w:p>
        </w:tc>
        <w:tc>
          <w:tcPr>
            <w:tcW w:w="0" w:type="dxa"/>
            <w:vAlign w:val="bottom"/>
          </w:tcPr>
          <w:p>
            <w:pPr>
              <w:spacing w:after="0"/>
              <w:rPr>
                <w:sz w:val="1"/>
                <w:szCs w:val="1"/>
                <w:color w:val="auto"/>
              </w:rPr>
            </w:pPr>
          </w:p>
        </w:tc>
      </w:tr>
      <w:tr>
        <w:trPr>
          <w:trHeight w:val="244"/>
        </w:trPr>
        <w:tc>
          <w:tcPr>
            <w:tcW w:w="6060" w:type="dxa"/>
            <w:vAlign w:val="bottom"/>
            <w:shd w:val="clear" w:color="auto" w:fill="EBECEC"/>
          </w:tcPr>
          <w:p>
            <w:pPr>
              <w:spacing w:after="0"/>
              <w:rPr>
                <w:sz w:val="20"/>
                <w:szCs w:val="20"/>
                <w:color w:val="auto"/>
              </w:rPr>
            </w:pPr>
            <w:r>
              <w:rPr>
                <w:rFonts w:ascii="Arial" w:cs="Arial" w:eastAsia="Arial" w:hAnsi="Arial"/>
                <w:sz w:val="20"/>
                <w:szCs w:val="20"/>
                <w:color w:val="231F20"/>
              </w:rPr>
              <w:t>Commitments and contingencies (Note 7)</w:t>
            </w:r>
          </w:p>
        </w:tc>
        <w:tc>
          <w:tcPr>
            <w:tcW w:w="28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8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6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0"/>
                <w:szCs w:val="20"/>
                <w:color w:val="auto"/>
              </w:rPr>
            </w:pPr>
            <w:r>
              <w:rPr>
                <w:rFonts w:ascii="Arial" w:cs="Arial" w:eastAsia="Arial" w:hAnsi="Arial"/>
                <w:sz w:val="20"/>
                <w:szCs w:val="20"/>
                <w:color w:val="231F20"/>
              </w:rPr>
              <w:t>Stockholders’ equity:</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EBECEC"/>
          </w:tcPr>
          <w:p>
            <w:pPr>
              <w:ind w:left="280"/>
              <w:spacing w:after="0" w:line="225" w:lineRule="exact"/>
              <w:rPr>
                <w:sz w:val="20"/>
                <w:szCs w:val="20"/>
                <w:color w:val="auto"/>
              </w:rPr>
            </w:pPr>
            <w:r>
              <w:rPr>
                <w:rFonts w:ascii="Arial" w:cs="Arial" w:eastAsia="Arial" w:hAnsi="Arial"/>
                <w:sz w:val="20"/>
                <w:szCs w:val="20"/>
                <w:color w:val="231F20"/>
              </w:rPr>
              <w:t>Preferred stock, $0.00001 par value; 10,000,000 shares</w:t>
            </w:r>
          </w:p>
        </w:tc>
        <w:tc>
          <w:tcPr>
            <w:tcW w:w="280" w:type="dxa"/>
            <w:vAlign w:val="bottom"/>
            <w:shd w:val="clear" w:color="auto" w:fill="EBECEC"/>
          </w:tcPr>
          <w:p>
            <w:pPr>
              <w:spacing w:after="0"/>
              <w:rPr>
                <w:sz w:val="19"/>
                <w:szCs w:val="19"/>
                <w:color w:val="auto"/>
              </w:rPr>
            </w:pPr>
          </w:p>
        </w:tc>
        <w:tc>
          <w:tcPr>
            <w:tcW w:w="240" w:type="dxa"/>
            <w:vAlign w:val="bottom"/>
            <w:shd w:val="clear" w:color="auto" w:fill="EBECEC"/>
          </w:tcPr>
          <w:p>
            <w:pPr>
              <w:spacing w:after="0"/>
              <w:rPr>
                <w:sz w:val="19"/>
                <w:szCs w:val="19"/>
                <w:color w:val="auto"/>
              </w:rPr>
            </w:pPr>
          </w:p>
        </w:tc>
        <w:tc>
          <w:tcPr>
            <w:tcW w:w="1880" w:type="dxa"/>
            <w:vAlign w:val="bottom"/>
            <w:shd w:val="clear" w:color="auto" w:fill="EBECEC"/>
          </w:tcPr>
          <w:p>
            <w:pPr>
              <w:spacing w:after="0"/>
              <w:rPr>
                <w:sz w:val="19"/>
                <w:szCs w:val="19"/>
                <w:color w:val="auto"/>
              </w:rPr>
            </w:pPr>
          </w:p>
        </w:tc>
        <w:tc>
          <w:tcPr>
            <w:tcW w:w="240" w:type="dxa"/>
            <w:vAlign w:val="bottom"/>
            <w:shd w:val="clear" w:color="auto" w:fill="EBECEC"/>
          </w:tcPr>
          <w:p>
            <w:pPr>
              <w:spacing w:after="0"/>
              <w:rPr>
                <w:sz w:val="19"/>
                <w:szCs w:val="19"/>
                <w:color w:val="auto"/>
              </w:rPr>
            </w:pPr>
          </w:p>
        </w:tc>
        <w:tc>
          <w:tcPr>
            <w:tcW w:w="240" w:type="dxa"/>
            <w:vAlign w:val="bottom"/>
            <w:shd w:val="clear" w:color="auto" w:fill="EBECEC"/>
          </w:tcPr>
          <w:p>
            <w:pPr>
              <w:spacing w:after="0"/>
              <w:rPr>
                <w:sz w:val="19"/>
                <w:szCs w:val="19"/>
                <w:color w:val="auto"/>
              </w:rPr>
            </w:pPr>
          </w:p>
        </w:tc>
        <w:tc>
          <w:tcPr>
            <w:tcW w:w="1860" w:type="dxa"/>
            <w:vAlign w:val="bottom"/>
            <w:shd w:val="clear" w:color="auto" w:fill="EBECE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authorized at December 31, 2025 and December 31, 2024; no</w:t>
            </w:r>
          </w:p>
        </w:tc>
        <w:tc>
          <w:tcPr>
            <w:tcW w:w="28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188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186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shares issued and outstanding at December 31, 2025 and</w:t>
            </w:r>
          </w:p>
        </w:tc>
        <w:tc>
          <w:tcPr>
            <w:tcW w:w="28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188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186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6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December 31, 2024</w:t>
            </w:r>
          </w:p>
        </w:tc>
        <w:tc>
          <w:tcPr>
            <w:tcW w:w="28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80" w:type="dxa"/>
            <w:vAlign w:val="bottom"/>
            <w:shd w:val="clear" w:color="auto" w:fill="EBECEC"/>
          </w:tcPr>
          <w:p>
            <w:pPr>
              <w:jc w:val="right"/>
              <w:ind w:right="20"/>
              <w:spacing w:after="0"/>
              <w:rPr>
                <w:sz w:val="20"/>
                <w:szCs w:val="20"/>
                <w:color w:val="auto"/>
              </w:rPr>
            </w:pPr>
            <w:r>
              <w:rPr>
                <w:rFonts w:ascii="Arial" w:cs="Arial" w:eastAsia="Arial" w:hAnsi="Arial"/>
                <w:sz w:val="20"/>
                <w:szCs w:val="20"/>
                <w:color w:val="231F20"/>
              </w:rPr>
              <w:t>—</w:t>
            </w:r>
          </w:p>
        </w:tc>
        <w:tc>
          <w:tcPr>
            <w:tcW w:w="24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6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25"/>
        </w:trPr>
        <w:tc>
          <w:tcPr>
            <w:tcW w:w="6060" w:type="dxa"/>
            <w:vAlign w:val="bottom"/>
          </w:tcPr>
          <w:p>
            <w:pPr>
              <w:ind w:left="280"/>
              <w:spacing w:after="0" w:line="225" w:lineRule="exact"/>
              <w:rPr>
                <w:sz w:val="20"/>
                <w:szCs w:val="20"/>
                <w:color w:val="auto"/>
              </w:rPr>
            </w:pPr>
            <w:r>
              <w:rPr>
                <w:rFonts w:ascii="Arial" w:cs="Arial" w:eastAsia="Arial" w:hAnsi="Arial"/>
                <w:sz w:val="20"/>
                <w:szCs w:val="20"/>
                <w:color w:val="231F20"/>
              </w:rPr>
              <w:t>Common stock, $0.00001 par value; 500,000,000 shares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20"/>
                <w:szCs w:val="20"/>
                <w:color w:val="231F20"/>
              </w:rPr>
              <w:t>authorized at December 31, 2025 and December 31, 2024;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20"/>
                <w:szCs w:val="20"/>
                <w:color w:val="231F20"/>
              </w:rPr>
              <w:t>27,413,171 and 29,919,634 shares issued and outstanding at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60" w:type="dxa"/>
            <w:vAlign w:val="bottom"/>
          </w:tcPr>
          <w:p>
            <w:pPr>
              <w:ind w:left="280"/>
              <w:spacing w:after="0"/>
              <w:rPr>
                <w:sz w:val="20"/>
                <w:szCs w:val="20"/>
                <w:color w:val="auto"/>
              </w:rPr>
            </w:pPr>
            <w:r>
              <w:rPr>
                <w:rFonts w:ascii="Arial" w:cs="Arial" w:eastAsia="Arial" w:hAnsi="Arial"/>
                <w:sz w:val="20"/>
                <w:szCs w:val="20"/>
                <w:color w:val="231F20"/>
              </w:rPr>
              <w:t>December 31, 2025 and December 31, 2024, respectively</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4"/>
        </w:trPr>
        <w:tc>
          <w:tcPr>
            <w:tcW w:w="606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Additional paid-in capital</w:t>
            </w:r>
          </w:p>
        </w:tc>
        <w:tc>
          <w:tcPr>
            <w:tcW w:w="28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80" w:type="dxa"/>
            <w:vAlign w:val="bottom"/>
            <w:shd w:val="clear" w:color="auto" w:fill="EBECEC"/>
          </w:tcPr>
          <w:p>
            <w:pPr>
              <w:jc w:val="right"/>
              <w:ind w:right="20"/>
              <w:spacing w:after="0"/>
              <w:rPr>
                <w:sz w:val="20"/>
                <w:szCs w:val="20"/>
                <w:color w:val="auto"/>
              </w:rPr>
            </w:pPr>
            <w:r>
              <w:rPr>
                <w:rFonts w:ascii="Arial" w:cs="Arial" w:eastAsia="Arial" w:hAnsi="Arial"/>
                <w:sz w:val="20"/>
                <w:szCs w:val="20"/>
                <w:color w:val="231F20"/>
              </w:rPr>
              <w:t>293,953</w:t>
            </w:r>
          </w:p>
        </w:tc>
        <w:tc>
          <w:tcPr>
            <w:tcW w:w="24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86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287,594</w:t>
            </w:r>
          </w:p>
        </w:tc>
        <w:tc>
          <w:tcPr>
            <w:tcW w:w="0" w:type="dxa"/>
            <w:vAlign w:val="bottom"/>
          </w:tcPr>
          <w:p>
            <w:pPr>
              <w:spacing w:after="0"/>
              <w:rPr>
                <w:sz w:val="1"/>
                <w:szCs w:val="1"/>
                <w:color w:val="auto"/>
              </w:rPr>
            </w:pPr>
          </w:p>
        </w:tc>
      </w:tr>
      <w:tr>
        <w:trPr>
          <w:trHeight w:val="244"/>
        </w:trPr>
        <w:tc>
          <w:tcPr>
            <w:tcW w:w="6060" w:type="dxa"/>
            <w:vAlign w:val="bottom"/>
          </w:tcPr>
          <w:p>
            <w:pPr>
              <w:ind w:left="280"/>
              <w:spacing w:after="0"/>
              <w:rPr>
                <w:sz w:val="20"/>
                <w:szCs w:val="20"/>
                <w:color w:val="auto"/>
              </w:rPr>
            </w:pPr>
            <w:r>
              <w:rPr>
                <w:rFonts w:ascii="Arial" w:cs="Arial" w:eastAsia="Arial" w:hAnsi="Arial"/>
                <w:sz w:val="20"/>
                <w:szCs w:val="20"/>
                <w:color w:val="231F20"/>
              </w:rPr>
              <w:t>Accumulated other comprehensive gain</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20"/>
                <w:szCs w:val="20"/>
                <w:color w:val="231F20"/>
              </w:rPr>
              <w:t>57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231F20"/>
              </w:rPr>
              <w:t>31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EBECEC"/>
            </w:tcBorders>
            <w:shd w:val="clear" w:color="auto" w:fill="EBECEC"/>
          </w:tcPr>
          <w:p>
            <w:pPr>
              <w:ind w:left="280"/>
              <w:spacing w:after="0"/>
              <w:rPr>
                <w:sz w:val="20"/>
                <w:szCs w:val="20"/>
                <w:color w:val="auto"/>
              </w:rPr>
            </w:pPr>
            <w:r>
              <w:rPr>
                <w:rFonts w:ascii="Arial" w:cs="Arial" w:eastAsia="Arial" w:hAnsi="Arial"/>
                <w:sz w:val="20"/>
                <w:szCs w:val="20"/>
                <w:color w:val="231F20"/>
              </w:rPr>
              <w:t>Accumulated deficit</w:t>
            </w:r>
          </w:p>
        </w:tc>
        <w:tc>
          <w:tcPr>
            <w:tcW w:w="28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231F20"/>
            </w:tcBorders>
            <w:shd w:val="clear" w:color="auto" w:fill="EBECEC"/>
          </w:tcPr>
          <w:p>
            <w:pPr>
              <w:spacing w:after="0"/>
              <w:rPr>
                <w:sz w:val="22"/>
                <w:szCs w:val="22"/>
                <w:color w:val="auto"/>
              </w:rPr>
            </w:pPr>
          </w:p>
        </w:tc>
        <w:tc>
          <w:tcPr>
            <w:tcW w:w="188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(240,950)</w:t>
            </w:r>
          </w:p>
        </w:tc>
        <w:tc>
          <w:tcPr>
            <w:tcW w:w="24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231F20"/>
            </w:tcBorders>
            <w:shd w:val="clear" w:color="auto" w:fill="EBECEC"/>
          </w:tcPr>
          <w:p>
            <w:pPr>
              <w:spacing w:after="0"/>
              <w:rPr>
                <w:sz w:val="22"/>
                <w:szCs w:val="22"/>
                <w:color w:val="auto"/>
              </w:rPr>
            </w:pPr>
          </w:p>
        </w:tc>
        <w:tc>
          <w:tcPr>
            <w:tcW w:w="186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(205,776)</w:t>
            </w:r>
          </w:p>
        </w:tc>
        <w:tc>
          <w:tcPr>
            <w:tcW w:w="0" w:type="dxa"/>
            <w:vAlign w:val="bottom"/>
          </w:tcPr>
          <w:p>
            <w:pPr>
              <w:spacing w:after="0"/>
              <w:rPr>
                <w:sz w:val="1"/>
                <w:szCs w:val="1"/>
                <w:color w:val="auto"/>
              </w:rPr>
            </w:pPr>
          </w:p>
        </w:tc>
      </w:tr>
      <w:tr>
        <w:trPr>
          <w:trHeight w:val="219"/>
        </w:trPr>
        <w:tc>
          <w:tcPr>
            <w:tcW w:w="6060" w:type="dxa"/>
            <w:vAlign w:val="bottom"/>
            <w:tcBorders>
              <w:bottom w:val="single" w:sz="8" w:color="EBECEC"/>
            </w:tcBorders>
          </w:tcPr>
          <w:p>
            <w:pPr>
              <w:ind w:left="560"/>
              <w:spacing w:after="0" w:line="219" w:lineRule="exact"/>
              <w:rPr>
                <w:sz w:val="20"/>
                <w:szCs w:val="20"/>
                <w:color w:val="auto"/>
              </w:rPr>
            </w:pPr>
            <w:r>
              <w:rPr>
                <w:rFonts w:ascii="Arial" w:cs="Arial" w:eastAsia="Arial" w:hAnsi="Arial"/>
                <w:sz w:val="20"/>
                <w:szCs w:val="20"/>
                <w:color w:val="231F20"/>
              </w:rPr>
              <w:t>Total stockholders’ equity</w:t>
            </w:r>
          </w:p>
        </w:tc>
        <w:tc>
          <w:tcPr>
            <w:tcW w:w="280" w:type="dxa"/>
            <w:vAlign w:val="bottom"/>
            <w:tcBorders>
              <w:bottom w:val="single" w:sz="8" w:color="EBECEC"/>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880" w:type="dxa"/>
            <w:vAlign w:val="bottom"/>
            <w:tcBorders>
              <w:bottom w:val="single" w:sz="8" w:color="231F20"/>
            </w:tcBorders>
          </w:tcPr>
          <w:p>
            <w:pPr>
              <w:jc w:val="right"/>
              <w:ind w:right="20"/>
              <w:spacing w:after="0" w:line="219" w:lineRule="exact"/>
              <w:rPr>
                <w:sz w:val="20"/>
                <w:szCs w:val="20"/>
                <w:color w:val="auto"/>
              </w:rPr>
            </w:pPr>
            <w:r>
              <w:rPr>
                <w:rFonts w:ascii="Arial" w:cs="Arial" w:eastAsia="Arial" w:hAnsi="Arial"/>
                <w:sz w:val="20"/>
                <w:szCs w:val="20"/>
                <w:color w:val="231F20"/>
              </w:rPr>
              <w:t>53,060</w:t>
            </w:r>
          </w:p>
        </w:tc>
        <w:tc>
          <w:tcPr>
            <w:tcW w:w="240" w:type="dxa"/>
            <w:vAlign w:val="bottom"/>
            <w:tcBorders>
              <w:bottom w:val="single" w:sz="8" w:color="EBECEC"/>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860" w:type="dxa"/>
            <w:vAlign w:val="bottom"/>
            <w:tcBorders>
              <w:bottom w:val="single" w:sz="8" w:color="231F20"/>
            </w:tcBorders>
          </w:tcPr>
          <w:p>
            <w:pPr>
              <w:jc w:val="right"/>
              <w:spacing w:after="0" w:line="219" w:lineRule="exact"/>
              <w:rPr>
                <w:sz w:val="20"/>
                <w:szCs w:val="20"/>
                <w:color w:val="auto"/>
              </w:rPr>
            </w:pPr>
            <w:r>
              <w:rPr>
                <w:rFonts w:ascii="Arial" w:cs="Arial" w:eastAsia="Arial" w:hAnsi="Arial"/>
                <w:sz w:val="20"/>
                <w:szCs w:val="20"/>
                <w:color w:val="231F20"/>
              </w:rPr>
              <w:t>81,849</w:t>
            </w:r>
          </w:p>
        </w:tc>
        <w:tc>
          <w:tcPr>
            <w:tcW w:w="0" w:type="dxa"/>
            <w:vAlign w:val="bottom"/>
          </w:tcPr>
          <w:p>
            <w:pPr>
              <w:spacing w:after="0"/>
              <w:rPr>
                <w:sz w:val="1"/>
                <w:szCs w:val="1"/>
                <w:color w:val="auto"/>
              </w:rPr>
            </w:pPr>
          </w:p>
        </w:tc>
      </w:tr>
      <w:tr>
        <w:trPr>
          <w:trHeight w:val="259"/>
        </w:trPr>
        <w:tc>
          <w:tcPr>
            <w:tcW w:w="6060" w:type="dxa"/>
            <w:vAlign w:val="bottom"/>
            <w:tcBorders>
              <w:bottom w:val="single" w:sz="8" w:color="EBECEC"/>
            </w:tcBorders>
            <w:shd w:val="clear" w:color="auto" w:fill="EBECEC"/>
          </w:tcPr>
          <w:p>
            <w:pPr>
              <w:spacing w:after="0"/>
              <w:rPr>
                <w:sz w:val="20"/>
                <w:szCs w:val="20"/>
                <w:color w:val="auto"/>
              </w:rPr>
            </w:pPr>
            <w:r>
              <w:rPr>
                <w:rFonts w:ascii="Arial" w:cs="Arial" w:eastAsia="Arial" w:hAnsi="Arial"/>
                <w:sz w:val="20"/>
                <w:szCs w:val="20"/>
                <w:b w:val="1"/>
                <w:bCs w:val="1"/>
                <w:color w:val="231F20"/>
              </w:rPr>
              <w:t>Total liabilities and stockholders’ equity</w:t>
            </w:r>
          </w:p>
        </w:tc>
        <w:tc>
          <w:tcPr>
            <w:tcW w:w="28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231F20"/>
            </w:tcBorders>
            <w:shd w:val="clear" w:color="auto" w:fill="EBECEC"/>
          </w:tcPr>
          <w:p>
            <w:pPr>
              <w:jc w:val="right"/>
              <w:ind w:right="20"/>
              <w:spacing w:after="0"/>
              <w:rPr>
                <w:sz w:val="20"/>
                <w:szCs w:val="20"/>
                <w:color w:val="auto"/>
              </w:rPr>
            </w:pPr>
            <w:r>
              <w:rPr>
                <w:rFonts w:ascii="Arial" w:cs="Arial" w:eastAsia="Arial" w:hAnsi="Arial"/>
                <w:sz w:val="20"/>
                <w:szCs w:val="20"/>
                <w:color w:val="231F20"/>
                <w:w w:val="89"/>
              </w:rPr>
              <w:t>$</w:t>
            </w:r>
          </w:p>
        </w:tc>
        <w:tc>
          <w:tcPr>
            <w:tcW w:w="1880" w:type="dxa"/>
            <w:vAlign w:val="bottom"/>
            <w:tcBorders>
              <w:bottom w:val="single" w:sz="8" w:color="231F20"/>
            </w:tcBorders>
            <w:shd w:val="clear" w:color="auto" w:fill="EBECEC"/>
          </w:tcPr>
          <w:p>
            <w:pPr>
              <w:jc w:val="right"/>
              <w:ind w:right="20"/>
              <w:spacing w:after="0"/>
              <w:rPr>
                <w:sz w:val="20"/>
                <w:szCs w:val="20"/>
                <w:color w:val="auto"/>
              </w:rPr>
            </w:pPr>
            <w:r>
              <w:rPr>
                <w:rFonts w:ascii="Arial" w:cs="Arial" w:eastAsia="Arial" w:hAnsi="Arial"/>
                <w:sz w:val="20"/>
                <w:szCs w:val="20"/>
                <w:color w:val="231F20"/>
              </w:rPr>
              <w:t>61,950</w:t>
            </w:r>
          </w:p>
        </w:tc>
        <w:tc>
          <w:tcPr>
            <w:tcW w:w="240" w:type="dxa"/>
            <w:vAlign w:val="bottom"/>
            <w:tcBorders>
              <w:bottom w:val="single" w:sz="8" w:color="EBECEC"/>
            </w:tcBorders>
            <w:shd w:val="clear" w:color="auto" w:fill="EBECEC"/>
          </w:tcPr>
          <w:p>
            <w:pPr>
              <w:spacing w:after="0"/>
              <w:rPr>
                <w:sz w:val="22"/>
                <w:szCs w:val="22"/>
                <w:color w:val="auto"/>
              </w:rPr>
            </w:pPr>
          </w:p>
        </w:tc>
        <w:tc>
          <w:tcPr>
            <w:tcW w:w="240" w:type="dxa"/>
            <w:vAlign w:val="bottom"/>
            <w:tcBorders>
              <w:bottom w:val="single" w:sz="8" w:color="231F20"/>
            </w:tcBorders>
            <w:shd w:val="clear" w:color="auto" w:fill="EBECEC"/>
          </w:tcPr>
          <w:p>
            <w:pPr>
              <w:jc w:val="right"/>
              <w:ind w:right="20"/>
              <w:spacing w:after="0"/>
              <w:rPr>
                <w:sz w:val="20"/>
                <w:szCs w:val="20"/>
                <w:color w:val="auto"/>
              </w:rPr>
            </w:pPr>
            <w:r>
              <w:rPr>
                <w:rFonts w:ascii="Arial" w:cs="Arial" w:eastAsia="Arial" w:hAnsi="Arial"/>
                <w:sz w:val="20"/>
                <w:szCs w:val="20"/>
                <w:color w:val="231F20"/>
                <w:w w:val="89"/>
              </w:rPr>
              <w:t>$</w:t>
            </w:r>
          </w:p>
        </w:tc>
        <w:tc>
          <w:tcPr>
            <w:tcW w:w="186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92,087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8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The accompanying notes are an integral part of these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F-3</w:t>
      </w:r>
    </w:p>
    <w:p>
      <w:pPr>
        <w:sectPr>
          <w:pgSz w:w="11880" w:h="15480" w:orient="portrait"/>
          <w:cols w:equalWidth="0" w:num="1">
            <w:col w:w="10800"/>
          </w:cols>
          <w:pgMar w:left="540" w:top="746" w:right="540" w:bottom="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ind w:left="2940" w:right="2420" w:hanging="526"/>
        <w:spacing w:after="0" w:line="292" w:lineRule="auto"/>
        <w:rPr>
          <w:sz w:val="20"/>
          <w:szCs w:val="20"/>
          <w:color w:val="auto"/>
        </w:rPr>
      </w:pPr>
      <w:r>
        <w:rPr>
          <w:rFonts w:ascii="Arial" w:cs="Arial" w:eastAsia="Arial" w:hAnsi="Arial"/>
          <w:sz w:val="19"/>
          <w:szCs w:val="19"/>
          <w:b w:val="1"/>
          <w:bCs w:val="1"/>
          <w:color w:val="231F20"/>
        </w:rPr>
        <w:t xml:space="preserve">STATEMENTS OF OPERATIONS AND COMPREHENSIVE LOSS </w:t>
      </w:r>
      <w:r>
        <w:rPr>
          <w:rFonts w:ascii="Arial" w:cs="Arial" w:eastAsia="Arial" w:hAnsi="Arial"/>
          <w:sz w:val="19"/>
          <w:szCs w:val="19"/>
          <w:b w:val="1"/>
          <w:bCs w:val="1"/>
          <w:i w:val="1"/>
          <w:iCs w:val="1"/>
          <w:color w:val="231F20"/>
        </w:rPr>
        <w:t>(in thousands, except share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3420" w:type="dxa"/>
            <w:vAlign w:val="bottom"/>
            <w:tcBorders>
              <w:bottom w:val="single" w:sz="8" w:color="231F20"/>
            </w:tcBorders>
            <w:gridSpan w:val="4"/>
          </w:tcPr>
          <w:p>
            <w:pPr>
              <w:jc w:val="right"/>
              <w:ind w:right="600"/>
              <w:spacing w:after="0"/>
              <w:rPr>
                <w:sz w:val="20"/>
                <w:szCs w:val="20"/>
                <w:color w:val="auto"/>
              </w:rPr>
            </w:pPr>
            <w:r>
              <w:rPr>
                <w:rFonts w:ascii="Arial" w:cs="Arial" w:eastAsia="Arial" w:hAnsi="Arial"/>
                <w:sz w:val="20"/>
                <w:szCs w:val="20"/>
                <w:b w:val="1"/>
                <w:bCs w:val="1"/>
                <w:color w:val="231F20"/>
              </w:rPr>
              <w:t>Year Ended December 31,</w:t>
            </w:r>
          </w:p>
        </w:tc>
        <w:tc>
          <w:tcPr>
            <w:tcW w:w="0" w:type="dxa"/>
            <w:vAlign w:val="bottom"/>
          </w:tcPr>
          <w:p>
            <w:pPr>
              <w:spacing w:after="0"/>
              <w:rPr>
                <w:sz w:val="1"/>
                <w:szCs w:val="1"/>
                <w:color w:val="auto"/>
              </w:rPr>
            </w:pPr>
          </w:p>
        </w:tc>
      </w:tr>
      <w:tr>
        <w:trPr>
          <w:trHeight w:val="239"/>
        </w:trPr>
        <w:tc>
          <w:tcPr>
            <w:tcW w:w="6820" w:type="dxa"/>
            <w:vAlign w:val="bottom"/>
            <w:tcBorders>
              <w:bottom w:val="single" w:sz="8" w:color="EBECEC"/>
            </w:tcBorders>
          </w:tcPr>
          <w:p>
            <w:pPr>
              <w:spacing w:after="0"/>
              <w:rPr>
                <w:sz w:val="20"/>
                <w:szCs w:val="20"/>
                <w:color w:val="auto"/>
              </w:rPr>
            </w:pPr>
          </w:p>
        </w:tc>
        <w:tc>
          <w:tcPr>
            <w:tcW w:w="200" w:type="dxa"/>
            <w:vAlign w:val="bottom"/>
            <w:tcBorders>
              <w:bottom w:val="single" w:sz="8" w:color="EBECEC"/>
            </w:tcBorders>
          </w:tcPr>
          <w:p>
            <w:pPr>
              <w:spacing w:after="0"/>
              <w:rPr>
                <w:sz w:val="20"/>
                <w:szCs w:val="20"/>
                <w:color w:val="auto"/>
              </w:rPr>
            </w:pPr>
          </w:p>
        </w:tc>
        <w:tc>
          <w:tcPr>
            <w:tcW w:w="20" w:type="dxa"/>
            <w:vAlign w:val="bottom"/>
            <w:tcBorders>
              <w:bottom w:val="single" w:sz="8" w:color="EBECEC"/>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tcBorders>
          </w:tcPr>
          <w:p>
            <w:pPr>
              <w:jc w:val="right"/>
              <w:ind w:right="640"/>
              <w:spacing w:after="0"/>
              <w:rPr>
                <w:sz w:val="20"/>
                <w:szCs w:val="20"/>
                <w:color w:val="auto"/>
              </w:rPr>
            </w:pPr>
            <w:r>
              <w:rPr>
                <w:rFonts w:ascii="Arial" w:cs="Arial" w:eastAsia="Arial" w:hAnsi="Arial"/>
                <w:sz w:val="20"/>
                <w:szCs w:val="20"/>
                <w:b w:val="1"/>
                <w:bCs w:val="1"/>
                <w:color w:val="231F20"/>
              </w:rPr>
              <w:t>2025</w:t>
            </w:r>
          </w:p>
        </w:tc>
        <w:tc>
          <w:tcPr>
            <w:tcW w:w="180" w:type="dxa"/>
            <w:vAlign w:val="bottom"/>
            <w:tcBorders>
              <w:bottom w:val="single" w:sz="8" w:color="EBECEC"/>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420" w:type="dxa"/>
            <w:vAlign w:val="bottom"/>
            <w:tcBorders>
              <w:bottom w:val="single" w:sz="8" w:color="231F20"/>
            </w:tcBorders>
          </w:tcPr>
          <w:p>
            <w:pPr>
              <w:jc w:val="right"/>
              <w:ind w:right="620"/>
              <w:spacing w:after="0"/>
              <w:rPr>
                <w:sz w:val="20"/>
                <w:szCs w:val="20"/>
                <w:color w:val="auto"/>
              </w:rPr>
            </w:pPr>
            <w:r>
              <w:rPr>
                <w:rFonts w:ascii="Arial" w:cs="Arial" w:eastAsia="Arial" w:hAnsi="Arial"/>
                <w:sz w:val="20"/>
                <w:szCs w:val="20"/>
                <w:b w:val="1"/>
                <w:bCs w:val="1"/>
                <w:color w:val="231F20"/>
              </w:rPr>
              <w:t>2024</w:t>
            </w:r>
          </w:p>
        </w:tc>
        <w:tc>
          <w:tcPr>
            <w:tcW w:w="0" w:type="dxa"/>
            <w:vAlign w:val="bottom"/>
          </w:tcPr>
          <w:p>
            <w:pPr>
              <w:spacing w:after="0"/>
              <w:rPr>
                <w:sz w:val="1"/>
                <w:szCs w:val="1"/>
                <w:color w:val="auto"/>
              </w:rPr>
            </w:pPr>
          </w:p>
        </w:tc>
      </w:tr>
      <w:tr>
        <w:trPr>
          <w:trHeight w:val="239"/>
        </w:trPr>
        <w:tc>
          <w:tcPr>
            <w:tcW w:w="6820" w:type="dxa"/>
            <w:vAlign w:val="bottom"/>
            <w:shd w:val="clear" w:color="auto" w:fill="EBECEC"/>
          </w:tcPr>
          <w:p>
            <w:pPr>
              <w:spacing w:after="0"/>
              <w:rPr>
                <w:sz w:val="20"/>
                <w:szCs w:val="20"/>
                <w:color w:val="auto"/>
              </w:rPr>
            </w:pPr>
            <w:r>
              <w:rPr>
                <w:rFonts w:ascii="Arial" w:cs="Arial" w:eastAsia="Arial" w:hAnsi="Arial"/>
                <w:sz w:val="20"/>
                <w:szCs w:val="20"/>
                <w:color w:val="231F20"/>
              </w:rPr>
              <w:t>Operating expenses:</w:t>
            </w:r>
          </w:p>
        </w:tc>
        <w:tc>
          <w:tcPr>
            <w:tcW w:w="20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460" w:type="dxa"/>
            <w:vAlign w:val="bottom"/>
            <w:shd w:val="clear" w:color="auto" w:fill="EBECEC"/>
          </w:tcPr>
          <w:p>
            <w:pPr>
              <w:spacing w:after="0"/>
              <w:rPr>
                <w:sz w:val="20"/>
                <w:szCs w:val="20"/>
                <w:color w:val="auto"/>
              </w:rPr>
            </w:pPr>
          </w:p>
        </w:tc>
        <w:tc>
          <w:tcPr>
            <w:tcW w:w="180" w:type="dxa"/>
            <w:vAlign w:val="bottom"/>
            <w:shd w:val="clear" w:color="auto" w:fill="EBECEC"/>
          </w:tcPr>
          <w:p>
            <w:pPr>
              <w:spacing w:after="0"/>
              <w:rPr>
                <w:sz w:val="20"/>
                <w:szCs w:val="20"/>
                <w:color w:val="auto"/>
              </w:rPr>
            </w:pPr>
          </w:p>
        </w:tc>
        <w:tc>
          <w:tcPr>
            <w:tcW w:w="360" w:type="dxa"/>
            <w:vAlign w:val="bottom"/>
            <w:shd w:val="clear" w:color="auto" w:fill="EBECEC"/>
          </w:tcPr>
          <w:p>
            <w:pPr>
              <w:spacing w:after="0"/>
              <w:rPr>
                <w:sz w:val="20"/>
                <w:szCs w:val="20"/>
                <w:color w:val="auto"/>
              </w:rPr>
            </w:pPr>
          </w:p>
        </w:tc>
        <w:tc>
          <w:tcPr>
            <w:tcW w:w="142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20" w:type="dxa"/>
            <w:vAlign w:val="bottom"/>
          </w:tcPr>
          <w:p>
            <w:pPr>
              <w:ind w:left="280"/>
              <w:spacing w:after="0"/>
              <w:rPr>
                <w:sz w:val="20"/>
                <w:szCs w:val="20"/>
                <w:color w:val="auto"/>
              </w:rPr>
            </w:pPr>
            <w:r>
              <w:rPr>
                <w:rFonts w:ascii="Arial" w:cs="Arial" w:eastAsia="Arial" w:hAnsi="Arial"/>
                <w:sz w:val="20"/>
                <w:szCs w:val="20"/>
                <w:color w:val="231F20"/>
              </w:rPr>
              <w:t>Research and development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Arial" w:cs="Arial" w:eastAsia="Arial" w:hAnsi="Arial"/>
                <w:sz w:val="20"/>
                <w:szCs w:val="20"/>
                <w:color w:val="231F20"/>
                <w:w w:val="71"/>
              </w:rPr>
              <w:t>$</w:t>
            </w:r>
          </w:p>
        </w:tc>
        <w:tc>
          <w:tcPr>
            <w:tcW w:w="1460" w:type="dxa"/>
            <w:vAlign w:val="bottom"/>
          </w:tcPr>
          <w:p>
            <w:pPr>
              <w:jc w:val="right"/>
              <w:ind w:right="40"/>
              <w:spacing w:after="0"/>
              <w:rPr>
                <w:sz w:val="20"/>
                <w:szCs w:val="20"/>
                <w:color w:val="auto"/>
              </w:rPr>
            </w:pPr>
            <w:r>
              <w:rPr>
                <w:rFonts w:ascii="Arial" w:cs="Arial" w:eastAsia="Arial" w:hAnsi="Arial"/>
                <w:sz w:val="20"/>
                <w:szCs w:val="20"/>
                <w:color w:val="231F20"/>
              </w:rPr>
              <w:t>24,769</w:t>
            </w:r>
          </w:p>
        </w:tc>
        <w:tc>
          <w:tcPr>
            <w:tcW w:w="180" w:type="dxa"/>
            <w:vAlign w:val="bottom"/>
          </w:tcPr>
          <w:p>
            <w:pPr>
              <w:spacing w:after="0"/>
              <w:rPr>
                <w:sz w:val="21"/>
                <w:szCs w:val="21"/>
                <w:color w:val="auto"/>
              </w:rPr>
            </w:pPr>
          </w:p>
        </w:tc>
        <w:tc>
          <w:tcPr>
            <w:tcW w:w="360" w:type="dxa"/>
            <w:vAlign w:val="bottom"/>
          </w:tcPr>
          <w:p>
            <w:pPr>
              <w:jc w:val="right"/>
              <w:ind w:right="140"/>
              <w:spacing w:after="0"/>
              <w:rPr>
                <w:sz w:val="20"/>
                <w:szCs w:val="20"/>
                <w:color w:val="auto"/>
              </w:rPr>
            </w:pPr>
            <w:r>
              <w:rPr>
                <w:rFonts w:ascii="Arial" w:cs="Arial" w:eastAsia="Arial" w:hAnsi="Arial"/>
                <w:sz w:val="20"/>
                <w:szCs w:val="20"/>
                <w:color w:val="231F20"/>
                <w:w w:val="89"/>
              </w:rPr>
              <w:t>$</w:t>
            </w:r>
          </w:p>
        </w:tc>
        <w:tc>
          <w:tcPr>
            <w:tcW w:w="1420" w:type="dxa"/>
            <w:vAlign w:val="bottom"/>
          </w:tcPr>
          <w:p>
            <w:pPr>
              <w:jc w:val="right"/>
              <w:spacing w:after="0"/>
              <w:rPr>
                <w:sz w:val="20"/>
                <w:szCs w:val="20"/>
                <w:color w:val="auto"/>
              </w:rPr>
            </w:pPr>
            <w:r>
              <w:rPr>
                <w:rFonts w:ascii="Arial" w:cs="Arial" w:eastAsia="Arial" w:hAnsi="Arial"/>
                <w:sz w:val="20"/>
                <w:szCs w:val="20"/>
                <w:color w:val="231F20"/>
              </w:rPr>
              <w:t>40,488</w:t>
            </w:r>
          </w:p>
        </w:tc>
        <w:tc>
          <w:tcPr>
            <w:tcW w:w="0" w:type="dxa"/>
            <w:vAlign w:val="bottom"/>
          </w:tcPr>
          <w:p>
            <w:pPr>
              <w:spacing w:after="0"/>
              <w:rPr>
                <w:sz w:val="1"/>
                <w:szCs w:val="1"/>
                <w:color w:val="auto"/>
              </w:rPr>
            </w:pPr>
          </w:p>
        </w:tc>
      </w:tr>
      <w:tr>
        <w:trPr>
          <w:trHeight w:val="244"/>
        </w:trPr>
        <w:tc>
          <w:tcPr>
            <w:tcW w:w="682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General and administrative</w:t>
            </w:r>
          </w:p>
        </w:tc>
        <w:tc>
          <w:tcPr>
            <w:tcW w:w="20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460" w:type="dxa"/>
            <w:vAlign w:val="bottom"/>
            <w:shd w:val="clear" w:color="auto" w:fill="EBECEC"/>
          </w:tcPr>
          <w:p>
            <w:pPr>
              <w:jc w:val="right"/>
              <w:ind w:right="40"/>
              <w:spacing w:after="0"/>
              <w:rPr>
                <w:sz w:val="20"/>
                <w:szCs w:val="20"/>
                <w:color w:val="auto"/>
              </w:rPr>
            </w:pPr>
            <w:r>
              <w:rPr>
                <w:rFonts w:ascii="Arial" w:cs="Arial" w:eastAsia="Arial" w:hAnsi="Arial"/>
                <w:sz w:val="20"/>
                <w:szCs w:val="20"/>
                <w:color w:val="231F20"/>
              </w:rPr>
              <w:t>13,340</w:t>
            </w:r>
          </w:p>
        </w:tc>
        <w:tc>
          <w:tcPr>
            <w:tcW w:w="180" w:type="dxa"/>
            <w:vAlign w:val="bottom"/>
            <w:shd w:val="clear" w:color="auto" w:fill="EBECEC"/>
          </w:tcPr>
          <w:p>
            <w:pPr>
              <w:spacing w:after="0"/>
              <w:rPr>
                <w:sz w:val="21"/>
                <w:szCs w:val="21"/>
                <w:color w:val="auto"/>
              </w:rPr>
            </w:pPr>
          </w:p>
        </w:tc>
        <w:tc>
          <w:tcPr>
            <w:tcW w:w="360" w:type="dxa"/>
            <w:vAlign w:val="bottom"/>
            <w:shd w:val="clear" w:color="auto" w:fill="EBECEC"/>
          </w:tcPr>
          <w:p>
            <w:pPr>
              <w:spacing w:after="0"/>
              <w:rPr>
                <w:sz w:val="21"/>
                <w:szCs w:val="21"/>
                <w:color w:val="auto"/>
              </w:rPr>
            </w:pPr>
          </w:p>
        </w:tc>
        <w:tc>
          <w:tcPr>
            <w:tcW w:w="142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14,066</w:t>
            </w:r>
          </w:p>
        </w:tc>
        <w:tc>
          <w:tcPr>
            <w:tcW w:w="0" w:type="dxa"/>
            <w:vAlign w:val="bottom"/>
          </w:tcPr>
          <w:p>
            <w:pPr>
              <w:spacing w:after="0"/>
              <w:rPr>
                <w:sz w:val="1"/>
                <w:szCs w:val="1"/>
                <w:color w:val="auto"/>
              </w:rPr>
            </w:pPr>
          </w:p>
        </w:tc>
      </w:tr>
      <w:tr>
        <w:trPr>
          <w:trHeight w:val="244"/>
        </w:trPr>
        <w:tc>
          <w:tcPr>
            <w:tcW w:w="6820" w:type="dxa"/>
            <w:vAlign w:val="bottom"/>
            <w:tcBorders>
              <w:bottom w:val="single" w:sz="8" w:color="EBECEC"/>
            </w:tcBorders>
          </w:tcPr>
          <w:p>
            <w:pPr>
              <w:ind w:left="280"/>
              <w:spacing w:after="0"/>
              <w:rPr>
                <w:sz w:val="20"/>
                <w:szCs w:val="20"/>
                <w:color w:val="auto"/>
              </w:rPr>
            </w:pPr>
            <w:r>
              <w:rPr>
                <w:rFonts w:ascii="Arial" w:cs="Arial" w:eastAsia="Arial" w:hAnsi="Arial"/>
                <w:sz w:val="20"/>
                <w:szCs w:val="20"/>
                <w:color w:val="231F20"/>
              </w:rPr>
              <w:t>Restructuring charges</w:t>
            </w:r>
          </w:p>
        </w:tc>
        <w:tc>
          <w:tcPr>
            <w:tcW w:w="200" w:type="dxa"/>
            <w:vAlign w:val="bottom"/>
            <w:tcBorders>
              <w:bottom w:val="single" w:sz="8" w:color="EBECEC"/>
            </w:tcBorders>
          </w:tcPr>
          <w:p>
            <w:pPr>
              <w:spacing w:after="0"/>
              <w:rPr>
                <w:sz w:val="21"/>
                <w:szCs w:val="21"/>
                <w:color w:val="auto"/>
              </w:rPr>
            </w:pPr>
          </w:p>
        </w:tc>
        <w:tc>
          <w:tcPr>
            <w:tcW w:w="20" w:type="dxa"/>
            <w:vAlign w:val="bottom"/>
            <w:tcBorders>
              <w:bottom w:val="single" w:sz="8" w:color="EBECEC"/>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460" w:type="dxa"/>
            <w:vAlign w:val="bottom"/>
            <w:tcBorders>
              <w:bottom w:val="single" w:sz="8" w:color="231F20"/>
            </w:tcBorders>
          </w:tcPr>
          <w:p>
            <w:pPr>
              <w:jc w:val="right"/>
              <w:ind w:right="40"/>
              <w:spacing w:after="0"/>
              <w:rPr>
                <w:sz w:val="20"/>
                <w:szCs w:val="20"/>
                <w:color w:val="auto"/>
              </w:rPr>
            </w:pPr>
            <w:r>
              <w:rPr>
                <w:rFonts w:ascii="Arial" w:cs="Arial" w:eastAsia="Arial" w:hAnsi="Arial"/>
                <w:sz w:val="20"/>
                <w:szCs w:val="20"/>
                <w:color w:val="231F20"/>
              </w:rPr>
              <w:t>—</w:t>
            </w:r>
          </w:p>
        </w:tc>
        <w:tc>
          <w:tcPr>
            <w:tcW w:w="180" w:type="dxa"/>
            <w:vAlign w:val="bottom"/>
            <w:tcBorders>
              <w:bottom w:val="single" w:sz="8" w:color="EBECEC"/>
            </w:tcBorders>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4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2,234</w:t>
            </w:r>
          </w:p>
        </w:tc>
        <w:tc>
          <w:tcPr>
            <w:tcW w:w="0" w:type="dxa"/>
            <w:vAlign w:val="bottom"/>
          </w:tcPr>
          <w:p>
            <w:pPr>
              <w:spacing w:after="0"/>
              <w:rPr>
                <w:sz w:val="1"/>
                <w:szCs w:val="1"/>
                <w:color w:val="auto"/>
              </w:rPr>
            </w:pPr>
          </w:p>
        </w:tc>
      </w:tr>
      <w:tr>
        <w:trPr>
          <w:trHeight w:val="239"/>
        </w:trPr>
        <w:tc>
          <w:tcPr>
            <w:tcW w:w="6820" w:type="dxa"/>
            <w:vAlign w:val="bottom"/>
            <w:shd w:val="clear" w:color="auto" w:fill="EBECEC"/>
          </w:tcPr>
          <w:p>
            <w:pPr>
              <w:ind w:left="560"/>
              <w:spacing w:after="0"/>
              <w:rPr>
                <w:sz w:val="20"/>
                <w:szCs w:val="20"/>
                <w:color w:val="auto"/>
              </w:rPr>
            </w:pPr>
            <w:r>
              <w:rPr>
                <w:rFonts w:ascii="Arial" w:cs="Arial" w:eastAsia="Arial" w:hAnsi="Arial"/>
                <w:sz w:val="20"/>
                <w:szCs w:val="20"/>
                <w:color w:val="231F20"/>
              </w:rPr>
              <w:t>Total operating expenses</w:t>
            </w:r>
          </w:p>
        </w:tc>
        <w:tc>
          <w:tcPr>
            <w:tcW w:w="20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340" w:type="dxa"/>
            <w:vAlign w:val="bottom"/>
            <w:tcBorders>
              <w:bottom w:val="single" w:sz="8" w:color="231F20"/>
            </w:tcBorders>
            <w:shd w:val="clear" w:color="auto" w:fill="EBECEC"/>
          </w:tcPr>
          <w:p>
            <w:pPr>
              <w:spacing w:after="0"/>
              <w:rPr>
                <w:sz w:val="20"/>
                <w:szCs w:val="20"/>
                <w:color w:val="auto"/>
              </w:rPr>
            </w:pPr>
          </w:p>
        </w:tc>
        <w:tc>
          <w:tcPr>
            <w:tcW w:w="1460" w:type="dxa"/>
            <w:vAlign w:val="bottom"/>
            <w:tcBorders>
              <w:bottom w:val="single" w:sz="8" w:color="231F20"/>
            </w:tcBorders>
            <w:shd w:val="clear" w:color="auto" w:fill="EBECEC"/>
          </w:tcPr>
          <w:p>
            <w:pPr>
              <w:jc w:val="right"/>
              <w:ind w:right="40"/>
              <w:spacing w:after="0"/>
              <w:rPr>
                <w:sz w:val="20"/>
                <w:szCs w:val="20"/>
                <w:color w:val="auto"/>
              </w:rPr>
            </w:pPr>
            <w:r>
              <w:rPr>
                <w:rFonts w:ascii="Arial" w:cs="Arial" w:eastAsia="Arial" w:hAnsi="Arial"/>
                <w:sz w:val="20"/>
                <w:szCs w:val="20"/>
                <w:color w:val="231F20"/>
              </w:rPr>
              <w:t>38,109</w:t>
            </w:r>
          </w:p>
        </w:tc>
        <w:tc>
          <w:tcPr>
            <w:tcW w:w="180" w:type="dxa"/>
            <w:vAlign w:val="bottom"/>
            <w:shd w:val="clear" w:color="auto" w:fill="EBECEC"/>
          </w:tcPr>
          <w:p>
            <w:pPr>
              <w:spacing w:after="0"/>
              <w:rPr>
                <w:sz w:val="20"/>
                <w:szCs w:val="20"/>
                <w:color w:val="auto"/>
              </w:rPr>
            </w:pPr>
          </w:p>
        </w:tc>
        <w:tc>
          <w:tcPr>
            <w:tcW w:w="360" w:type="dxa"/>
            <w:vAlign w:val="bottom"/>
            <w:tcBorders>
              <w:bottom w:val="single" w:sz="8" w:color="231F20"/>
            </w:tcBorders>
            <w:shd w:val="clear" w:color="auto" w:fill="EBECEC"/>
          </w:tcPr>
          <w:p>
            <w:pPr>
              <w:spacing w:after="0"/>
              <w:rPr>
                <w:sz w:val="20"/>
                <w:szCs w:val="20"/>
                <w:color w:val="auto"/>
              </w:rPr>
            </w:pPr>
          </w:p>
        </w:tc>
        <w:tc>
          <w:tcPr>
            <w:tcW w:w="142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56,788</w:t>
            </w:r>
          </w:p>
        </w:tc>
        <w:tc>
          <w:tcPr>
            <w:tcW w:w="0" w:type="dxa"/>
            <w:vAlign w:val="bottom"/>
          </w:tcPr>
          <w:p>
            <w:pPr>
              <w:spacing w:after="0"/>
              <w:rPr>
                <w:sz w:val="1"/>
                <w:szCs w:val="1"/>
                <w:color w:val="auto"/>
              </w:rPr>
            </w:pPr>
          </w:p>
        </w:tc>
      </w:tr>
      <w:tr>
        <w:trPr>
          <w:trHeight w:val="239"/>
        </w:trPr>
        <w:tc>
          <w:tcPr>
            <w:tcW w:w="6820" w:type="dxa"/>
            <w:vAlign w:val="bottom"/>
          </w:tcPr>
          <w:p>
            <w:pPr>
              <w:spacing w:after="0"/>
              <w:rPr>
                <w:sz w:val="20"/>
                <w:szCs w:val="20"/>
                <w:color w:val="auto"/>
              </w:rPr>
            </w:pPr>
            <w:r>
              <w:rPr>
                <w:rFonts w:ascii="Arial" w:cs="Arial" w:eastAsia="Arial" w:hAnsi="Arial"/>
                <w:sz w:val="20"/>
                <w:szCs w:val="20"/>
                <w:color w:val="231F20"/>
              </w:rPr>
              <w:t>Loss from operations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231F20"/>
              </w:rPr>
              <w:t>(38,109)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231F20"/>
              </w:rPr>
              <w:t>(56,788)</w:t>
            </w:r>
          </w:p>
        </w:tc>
        <w:tc>
          <w:tcPr>
            <w:tcW w:w="0" w:type="dxa"/>
            <w:vAlign w:val="bottom"/>
          </w:tcPr>
          <w:p>
            <w:pPr>
              <w:spacing w:after="0"/>
              <w:rPr>
                <w:sz w:val="1"/>
                <w:szCs w:val="1"/>
                <w:color w:val="auto"/>
              </w:rPr>
            </w:pPr>
          </w:p>
        </w:tc>
      </w:tr>
      <w:tr>
        <w:trPr>
          <w:trHeight w:val="244"/>
        </w:trPr>
        <w:tc>
          <w:tcPr>
            <w:tcW w:w="6820" w:type="dxa"/>
            <w:vAlign w:val="bottom"/>
            <w:shd w:val="clear" w:color="auto" w:fill="EBECEC"/>
          </w:tcPr>
          <w:p>
            <w:pPr>
              <w:spacing w:after="0"/>
              <w:rPr>
                <w:sz w:val="20"/>
                <w:szCs w:val="20"/>
                <w:color w:val="auto"/>
              </w:rPr>
            </w:pPr>
            <w:r>
              <w:rPr>
                <w:rFonts w:ascii="Arial" w:cs="Arial" w:eastAsia="Arial" w:hAnsi="Arial"/>
                <w:sz w:val="20"/>
                <w:szCs w:val="20"/>
                <w:color w:val="231F20"/>
              </w:rPr>
              <w:t>Interest income</w:t>
            </w:r>
          </w:p>
        </w:tc>
        <w:tc>
          <w:tcPr>
            <w:tcW w:w="20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460" w:type="dxa"/>
            <w:vAlign w:val="bottom"/>
            <w:shd w:val="clear" w:color="auto" w:fill="EBECEC"/>
          </w:tcPr>
          <w:p>
            <w:pPr>
              <w:jc w:val="right"/>
              <w:ind w:right="40"/>
              <w:spacing w:after="0"/>
              <w:rPr>
                <w:sz w:val="20"/>
                <w:szCs w:val="20"/>
                <w:color w:val="auto"/>
              </w:rPr>
            </w:pPr>
            <w:r>
              <w:rPr>
                <w:rFonts w:ascii="Arial" w:cs="Arial" w:eastAsia="Arial" w:hAnsi="Arial"/>
                <w:sz w:val="20"/>
                <w:szCs w:val="20"/>
                <w:color w:val="231F20"/>
              </w:rPr>
              <w:t>2,934</w:t>
            </w:r>
          </w:p>
        </w:tc>
        <w:tc>
          <w:tcPr>
            <w:tcW w:w="180" w:type="dxa"/>
            <w:vAlign w:val="bottom"/>
            <w:shd w:val="clear" w:color="auto" w:fill="EBECEC"/>
          </w:tcPr>
          <w:p>
            <w:pPr>
              <w:spacing w:after="0"/>
              <w:rPr>
                <w:sz w:val="21"/>
                <w:szCs w:val="21"/>
                <w:color w:val="auto"/>
              </w:rPr>
            </w:pPr>
          </w:p>
        </w:tc>
        <w:tc>
          <w:tcPr>
            <w:tcW w:w="360" w:type="dxa"/>
            <w:vAlign w:val="bottom"/>
            <w:shd w:val="clear" w:color="auto" w:fill="EBECEC"/>
          </w:tcPr>
          <w:p>
            <w:pPr>
              <w:spacing w:after="0"/>
              <w:rPr>
                <w:sz w:val="21"/>
                <w:szCs w:val="21"/>
                <w:color w:val="auto"/>
              </w:rPr>
            </w:pPr>
          </w:p>
        </w:tc>
        <w:tc>
          <w:tcPr>
            <w:tcW w:w="142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5,466</w:t>
            </w:r>
          </w:p>
        </w:tc>
        <w:tc>
          <w:tcPr>
            <w:tcW w:w="0" w:type="dxa"/>
            <w:vAlign w:val="bottom"/>
          </w:tcPr>
          <w:p>
            <w:pPr>
              <w:spacing w:after="0"/>
              <w:rPr>
                <w:sz w:val="1"/>
                <w:szCs w:val="1"/>
                <w:color w:val="auto"/>
              </w:rPr>
            </w:pPr>
          </w:p>
        </w:tc>
      </w:tr>
      <w:tr>
        <w:trPr>
          <w:trHeight w:val="244"/>
        </w:trPr>
        <w:tc>
          <w:tcPr>
            <w:tcW w:w="6820" w:type="dxa"/>
            <w:vAlign w:val="bottom"/>
            <w:tcBorders>
              <w:bottom w:val="single" w:sz="8" w:color="EBECEC"/>
            </w:tcBorders>
          </w:tcPr>
          <w:p>
            <w:pPr>
              <w:spacing w:after="0"/>
              <w:rPr>
                <w:sz w:val="20"/>
                <w:szCs w:val="20"/>
                <w:color w:val="auto"/>
              </w:rPr>
            </w:pPr>
            <w:r>
              <w:rPr>
                <w:rFonts w:ascii="Arial" w:cs="Arial" w:eastAsia="Arial" w:hAnsi="Arial"/>
                <w:sz w:val="20"/>
                <w:szCs w:val="20"/>
                <w:color w:val="231F20"/>
              </w:rPr>
              <w:t>Other income</w:t>
            </w:r>
          </w:p>
        </w:tc>
        <w:tc>
          <w:tcPr>
            <w:tcW w:w="200" w:type="dxa"/>
            <w:vAlign w:val="bottom"/>
            <w:tcBorders>
              <w:bottom w:val="single" w:sz="8" w:color="EBECEC"/>
            </w:tcBorders>
          </w:tcPr>
          <w:p>
            <w:pPr>
              <w:spacing w:after="0"/>
              <w:rPr>
                <w:sz w:val="21"/>
                <w:szCs w:val="21"/>
                <w:color w:val="auto"/>
              </w:rPr>
            </w:pPr>
          </w:p>
        </w:tc>
        <w:tc>
          <w:tcPr>
            <w:tcW w:w="20" w:type="dxa"/>
            <w:vAlign w:val="bottom"/>
            <w:tcBorders>
              <w:bottom w:val="single" w:sz="8" w:color="EBECEC"/>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460" w:type="dxa"/>
            <w:vAlign w:val="bottom"/>
            <w:tcBorders>
              <w:bottom w:val="single" w:sz="8" w:color="231F20"/>
            </w:tcBorders>
          </w:tcPr>
          <w:p>
            <w:pPr>
              <w:jc w:val="right"/>
              <w:ind w:right="40"/>
              <w:spacing w:after="0"/>
              <w:rPr>
                <w:sz w:val="20"/>
                <w:szCs w:val="20"/>
                <w:color w:val="auto"/>
              </w:rPr>
            </w:pPr>
            <w:r>
              <w:rPr>
                <w:rFonts w:ascii="Arial" w:cs="Arial" w:eastAsia="Arial" w:hAnsi="Arial"/>
                <w:sz w:val="20"/>
                <w:szCs w:val="20"/>
                <w:color w:val="231F20"/>
              </w:rPr>
              <w:t>1</w:t>
            </w:r>
          </w:p>
        </w:tc>
        <w:tc>
          <w:tcPr>
            <w:tcW w:w="180" w:type="dxa"/>
            <w:vAlign w:val="bottom"/>
            <w:tcBorders>
              <w:bottom w:val="single" w:sz="8" w:color="EBECEC"/>
            </w:tcBorders>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4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w:t>
            </w:r>
          </w:p>
        </w:tc>
        <w:tc>
          <w:tcPr>
            <w:tcW w:w="0" w:type="dxa"/>
            <w:vAlign w:val="bottom"/>
          </w:tcPr>
          <w:p>
            <w:pPr>
              <w:spacing w:after="0"/>
              <w:rPr>
                <w:sz w:val="1"/>
                <w:szCs w:val="1"/>
                <w:color w:val="auto"/>
              </w:rPr>
            </w:pPr>
          </w:p>
        </w:tc>
      </w:tr>
      <w:tr>
        <w:trPr>
          <w:trHeight w:val="239"/>
        </w:trPr>
        <w:tc>
          <w:tcPr>
            <w:tcW w:w="6820" w:type="dxa"/>
            <w:vAlign w:val="bottom"/>
            <w:shd w:val="clear" w:color="auto" w:fill="EBECEC"/>
          </w:tcPr>
          <w:p>
            <w:pPr>
              <w:spacing w:after="0"/>
              <w:rPr>
                <w:sz w:val="20"/>
                <w:szCs w:val="20"/>
                <w:color w:val="auto"/>
              </w:rPr>
            </w:pPr>
            <w:r>
              <w:rPr>
                <w:rFonts w:ascii="Arial" w:cs="Arial" w:eastAsia="Arial" w:hAnsi="Arial"/>
                <w:sz w:val="20"/>
                <w:szCs w:val="20"/>
                <w:color w:val="231F20"/>
              </w:rPr>
              <w:t>Net loss attributable to common stockholders</w:t>
            </w:r>
          </w:p>
        </w:tc>
        <w:tc>
          <w:tcPr>
            <w:tcW w:w="20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340" w:type="dxa"/>
            <w:vAlign w:val="bottom"/>
            <w:tcBorders>
              <w:bottom w:val="single" w:sz="8" w:color="231F20"/>
            </w:tcBorders>
            <w:shd w:val="clear" w:color="auto" w:fill="EBECEC"/>
          </w:tcPr>
          <w:p>
            <w:pPr>
              <w:jc w:val="right"/>
              <w:ind w:right="140"/>
              <w:spacing w:after="0"/>
              <w:rPr>
                <w:sz w:val="20"/>
                <w:szCs w:val="20"/>
                <w:color w:val="auto"/>
              </w:rPr>
            </w:pPr>
            <w:r>
              <w:rPr>
                <w:rFonts w:ascii="Arial" w:cs="Arial" w:eastAsia="Arial" w:hAnsi="Arial"/>
                <w:sz w:val="20"/>
                <w:szCs w:val="20"/>
                <w:color w:val="231F20"/>
                <w:w w:val="71"/>
              </w:rPr>
              <w:t>$</w:t>
            </w:r>
          </w:p>
        </w:tc>
        <w:tc>
          <w:tcPr>
            <w:tcW w:w="146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(35,174)</w:t>
            </w:r>
          </w:p>
        </w:tc>
        <w:tc>
          <w:tcPr>
            <w:tcW w:w="180" w:type="dxa"/>
            <w:vAlign w:val="bottom"/>
            <w:shd w:val="clear" w:color="auto" w:fill="EBECEC"/>
          </w:tcPr>
          <w:p>
            <w:pPr>
              <w:spacing w:after="0"/>
              <w:rPr>
                <w:sz w:val="20"/>
                <w:szCs w:val="20"/>
                <w:color w:val="auto"/>
              </w:rPr>
            </w:pPr>
          </w:p>
        </w:tc>
        <w:tc>
          <w:tcPr>
            <w:tcW w:w="360" w:type="dxa"/>
            <w:vAlign w:val="bottom"/>
            <w:tcBorders>
              <w:bottom w:val="single" w:sz="8" w:color="231F20"/>
            </w:tcBorders>
            <w:shd w:val="clear" w:color="auto" w:fill="EBECEC"/>
          </w:tcPr>
          <w:p>
            <w:pPr>
              <w:jc w:val="right"/>
              <w:ind w:right="140"/>
              <w:spacing w:after="0"/>
              <w:rPr>
                <w:sz w:val="20"/>
                <w:szCs w:val="20"/>
                <w:color w:val="auto"/>
              </w:rPr>
            </w:pPr>
            <w:r>
              <w:rPr>
                <w:rFonts w:ascii="Arial" w:cs="Arial" w:eastAsia="Arial" w:hAnsi="Arial"/>
                <w:sz w:val="20"/>
                <w:szCs w:val="20"/>
                <w:color w:val="231F20"/>
                <w:w w:val="89"/>
              </w:rPr>
              <w:t>$</w:t>
            </w:r>
          </w:p>
        </w:tc>
        <w:tc>
          <w:tcPr>
            <w:tcW w:w="142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(51,321)</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20"/>
                <w:szCs w:val="20"/>
                <w:color w:val="231F20"/>
              </w:rPr>
              <w:t>Net loss per share attributable to common stockholders, basic and diluted</w:t>
            </w: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820" w:type="dxa"/>
            <w:vAlign w:val="bottom"/>
            <w:tcBorders>
              <w:bottom w:val="single" w:sz="8" w:color="EBECEC"/>
            </w:tcBorders>
            <w:vMerge w:val="continue"/>
          </w:tcPr>
          <w:p>
            <w:pPr>
              <w:spacing w:after="0"/>
              <w:rPr>
                <w:sz w:val="23"/>
                <w:szCs w:val="23"/>
                <w:color w:val="auto"/>
              </w:rPr>
            </w:pPr>
          </w:p>
        </w:tc>
        <w:tc>
          <w:tcPr>
            <w:tcW w:w="200" w:type="dxa"/>
            <w:vAlign w:val="bottom"/>
            <w:tcBorders>
              <w:bottom w:val="single" w:sz="8" w:color="EBECEC"/>
            </w:tcBorders>
          </w:tcPr>
          <w:p>
            <w:pPr>
              <w:spacing w:after="0"/>
              <w:rPr>
                <w:sz w:val="23"/>
                <w:szCs w:val="23"/>
                <w:color w:val="auto"/>
              </w:rPr>
            </w:pPr>
          </w:p>
        </w:tc>
        <w:tc>
          <w:tcPr>
            <w:tcW w:w="20" w:type="dxa"/>
            <w:vAlign w:val="bottom"/>
            <w:tcBorders>
              <w:bottom w:val="single" w:sz="8" w:color="EBECEC"/>
            </w:tcBorders>
          </w:tcPr>
          <w:p>
            <w:pPr>
              <w:spacing w:after="0"/>
              <w:rPr>
                <w:sz w:val="23"/>
                <w:szCs w:val="23"/>
                <w:color w:val="auto"/>
              </w:rPr>
            </w:pPr>
          </w:p>
        </w:tc>
        <w:tc>
          <w:tcPr>
            <w:tcW w:w="340" w:type="dxa"/>
            <w:vAlign w:val="bottom"/>
            <w:tcBorders>
              <w:top w:val="single" w:sz="8" w:color="231F20"/>
              <w:bottom w:val="single" w:sz="8" w:color="231F20"/>
            </w:tcBorders>
          </w:tcPr>
          <w:p>
            <w:pPr>
              <w:jc w:val="right"/>
              <w:ind w:right="140"/>
              <w:spacing w:after="0"/>
              <w:rPr>
                <w:sz w:val="20"/>
                <w:szCs w:val="20"/>
                <w:color w:val="auto"/>
              </w:rPr>
            </w:pPr>
            <w:r>
              <w:rPr>
                <w:rFonts w:ascii="Arial" w:cs="Arial" w:eastAsia="Arial" w:hAnsi="Arial"/>
                <w:sz w:val="20"/>
                <w:szCs w:val="20"/>
                <w:color w:val="231F20"/>
                <w:w w:val="71"/>
              </w:rPr>
              <w:t>$</w:t>
            </w:r>
          </w:p>
        </w:tc>
        <w:tc>
          <w:tcPr>
            <w:tcW w:w="146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20"/>
                <w:szCs w:val="20"/>
                <w:color w:val="231F20"/>
              </w:rPr>
              <w:t>(1.16)</w:t>
            </w:r>
          </w:p>
        </w:tc>
        <w:tc>
          <w:tcPr>
            <w:tcW w:w="180" w:type="dxa"/>
            <w:vAlign w:val="bottom"/>
            <w:tcBorders>
              <w:bottom w:val="single" w:sz="8" w:color="EBECEC"/>
            </w:tcBorders>
          </w:tcPr>
          <w:p>
            <w:pPr>
              <w:spacing w:after="0"/>
              <w:rPr>
                <w:sz w:val="23"/>
                <w:szCs w:val="23"/>
                <w:color w:val="auto"/>
              </w:rPr>
            </w:pPr>
          </w:p>
        </w:tc>
        <w:tc>
          <w:tcPr>
            <w:tcW w:w="360" w:type="dxa"/>
            <w:vAlign w:val="bottom"/>
            <w:tcBorders>
              <w:top w:val="single" w:sz="8" w:color="231F20"/>
              <w:bottom w:val="single" w:sz="8" w:color="231F20"/>
            </w:tcBorders>
          </w:tcPr>
          <w:p>
            <w:pPr>
              <w:jc w:val="right"/>
              <w:ind w:right="160"/>
              <w:spacing w:after="0"/>
              <w:rPr>
                <w:sz w:val="20"/>
                <w:szCs w:val="20"/>
                <w:color w:val="auto"/>
              </w:rPr>
            </w:pPr>
            <w:r>
              <w:rPr>
                <w:rFonts w:ascii="Arial" w:cs="Arial" w:eastAsia="Arial" w:hAnsi="Arial"/>
                <w:sz w:val="20"/>
                <w:szCs w:val="20"/>
                <w:color w:val="231F20"/>
                <w:w w:val="71"/>
              </w:rPr>
              <w:t>$</w:t>
            </w:r>
          </w:p>
        </w:tc>
        <w:tc>
          <w:tcPr>
            <w:tcW w:w="142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20"/>
                <w:szCs w:val="20"/>
                <w:color w:val="231F20"/>
              </w:rPr>
              <w:t>(1.72)</w:t>
            </w:r>
          </w:p>
        </w:tc>
        <w:tc>
          <w:tcPr>
            <w:tcW w:w="0" w:type="dxa"/>
            <w:vAlign w:val="bottom"/>
          </w:tcPr>
          <w:p>
            <w:pPr>
              <w:spacing w:after="0"/>
              <w:rPr>
                <w:sz w:val="1"/>
                <w:szCs w:val="1"/>
                <w:color w:val="auto"/>
              </w:rPr>
            </w:pPr>
          </w:p>
        </w:tc>
      </w:tr>
      <w:tr>
        <w:trPr>
          <w:trHeight w:val="210"/>
        </w:trPr>
        <w:tc>
          <w:tcPr>
            <w:tcW w:w="6820" w:type="dxa"/>
            <w:vAlign w:val="bottom"/>
            <w:shd w:val="clear" w:color="auto" w:fill="EBECEC"/>
          </w:tcPr>
          <w:p>
            <w:pPr>
              <w:spacing w:after="0" w:line="209" w:lineRule="exact"/>
              <w:rPr>
                <w:sz w:val="20"/>
                <w:szCs w:val="20"/>
                <w:color w:val="auto"/>
              </w:rPr>
            </w:pPr>
            <w:r>
              <w:rPr>
                <w:rFonts w:ascii="Arial" w:cs="Arial" w:eastAsia="Arial" w:hAnsi="Arial"/>
                <w:sz w:val="20"/>
                <w:szCs w:val="20"/>
                <w:color w:val="231F20"/>
              </w:rPr>
              <w:t>Weighted-average number of shares used in computing net loss per share,</w:t>
            </w:r>
          </w:p>
        </w:tc>
        <w:tc>
          <w:tcPr>
            <w:tcW w:w="200" w:type="dxa"/>
            <w:vAlign w:val="bottom"/>
            <w:shd w:val="clear" w:color="auto" w:fill="EBECEC"/>
          </w:tcPr>
          <w:p>
            <w:pPr>
              <w:spacing w:after="0"/>
              <w:rPr>
                <w:sz w:val="18"/>
                <w:szCs w:val="18"/>
                <w:color w:val="auto"/>
              </w:rPr>
            </w:pPr>
          </w:p>
        </w:tc>
        <w:tc>
          <w:tcPr>
            <w:tcW w:w="20" w:type="dxa"/>
            <w:vAlign w:val="bottom"/>
            <w:shd w:val="clear" w:color="auto" w:fill="EBECEC"/>
          </w:tcPr>
          <w:p>
            <w:pPr>
              <w:spacing w:after="0"/>
              <w:rPr>
                <w:sz w:val="18"/>
                <w:szCs w:val="18"/>
                <w:color w:val="auto"/>
              </w:rPr>
            </w:pPr>
          </w:p>
        </w:tc>
        <w:tc>
          <w:tcPr>
            <w:tcW w:w="340" w:type="dxa"/>
            <w:vAlign w:val="bottom"/>
            <w:shd w:val="clear" w:color="auto" w:fill="EBECEC"/>
          </w:tcPr>
          <w:p>
            <w:pPr>
              <w:spacing w:after="0"/>
              <w:rPr>
                <w:sz w:val="18"/>
                <w:szCs w:val="18"/>
                <w:color w:val="auto"/>
              </w:rPr>
            </w:pPr>
          </w:p>
        </w:tc>
        <w:tc>
          <w:tcPr>
            <w:tcW w:w="1460" w:type="dxa"/>
            <w:vAlign w:val="bottom"/>
            <w:shd w:val="clear" w:color="auto" w:fill="EBECEC"/>
          </w:tcPr>
          <w:p>
            <w:pPr>
              <w:spacing w:after="0"/>
              <w:rPr>
                <w:sz w:val="18"/>
                <w:szCs w:val="18"/>
                <w:color w:val="auto"/>
              </w:rPr>
            </w:pPr>
          </w:p>
        </w:tc>
        <w:tc>
          <w:tcPr>
            <w:tcW w:w="180" w:type="dxa"/>
            <w:vAlign w:val="bottom"/>
            <w:shd w:val="clear" w:color="auto" w:fill="EBECEC"/>
          </w:tcPr>
          <w:p>
            <w:pPr>
              <w:spacing w:after="0"/>
              <w:rPr>
                <w:sz w:val="18"/>
                <w:szCs w:val="18"/>
                <w:color w:val="auto"/>
              </w:rPr>
            </w:pPr>
          </w:p>
        </w:tc>
        <w:tc>
          <w:tcPr>
            <w:tcW w:w="360" w:type="dxa"/>
            <w:vAlign w:val="bottom"/>
            <w:shd w:val="clear" w:color="auto" w:fill="EBECEC"/>
          </w:tcPr>
          <w:p>
            <w:pPr>
              <w:spacing w:after="0"/>
              <w:rPr>
                <w:sz w:val="18"/>
                <w:szCs w:val="18"/>
                <w:color w:val="auto"/>
              </w:rPr>
            </w:pPr>
          </w:p>
        </w:tc>
        <w:tc>
          <w:tcPr>
            <w:tcW w:w="1420" w:type="dxa"/>
            <w:vAlign w:val="bottom"/>
            <w:shd w:val="clear" w:color="auto" w:fill="EBECE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820" w:type="dxa"/>
            <w:vAlign w:val="bottom"/>
            <w:tcBorders>
              <w:bottom w:val="single" w:sz="8" w:color="EBECEC"/>
            </w:tcBorders>
            <w:shd w:val="clear" w:color="auto" w:fill="EBECEC"/>
          </w:tcPr>
          <w:p>
            <w:pPr>
              <w:spacing w:after="0"/>
              <w:rPr>
                <w:sz w:val="20"/>
                <w:szCs w:val="20"/>
                <w:color w:val="auto"/>
              </w:rPr>
            </w:pPr>
            <w:r>
              <w:rPr>
                <w:rFonts w:ascii="Arial" w:cs="Arial" w:eastAsia="Arial" w:hAnsi="Arial"/>
                <w:sz w:val="20"/>
                <w:szCs w:val="20"/>
                <w:color w:val="231F20"/>
              </w:rPr>
              <w:t>basic and diluted</w:t>
            </w:r>
          </w:p>
        </w:tc>
        <w:tc>
          <w:tcPr>
            <w:tcW w:w="200" w:type="dxa"/>
            <w:vAlign w:val="bottom"/>
            <w:tcBorders>
              <w:bottom w:val="single" w:sz="8" w:color="EBECEC"/>
            </w:tcBorders>
            <w:shd w:val="clear" w:color="auto" w:fill="EBECEC"/>
          </w:tcPr>
          <w:p>
            <w:pPr>
              <w:spacing w:after="0"/>
              <w:rPr>
                <w:sz w:val="23"/>
                <w:szCs w:val="23"/>
                <w:color w:val="auto"/>
              </w:rPr>
            </w:pPr>
          </w:p>
        </w:tc>
        <w:tc>
          <w:tcPr>
            <w:tcW w:w="20" w:type="dxa"/>
            <w:vAlign w:val="bottom"/>
            <w:tcBorders>
              <w:bottom w:val="single" w:sz="8" w:color="EBECEC"/>
            </w:tcBorders>
            <w:shd w:val="clear" w:color="auto" w:fill="EBECEC"/>
          </w:tcPr>
          <w:p>
            <w:pPr>
              <w:spacing w:after="0"/>
              <w:rPr>
                <w:sz w:val="23"/>
                <w:szCs w:val="23"/>
                <w:color w:val="auto"/>
              </w:rPr>
            </w:pPr>
          </w:p>
        </w:tc>
        <w:tc>
          <w:tcPr>
            <w:tcW w:w="340" w:type="dxa"/>
            <w:vAlign w:val="bottom"/>
            <w:tcBorders>
              <w:bottom w:val="single" w:sz="8" w:color="231F20"/>
            </w:tcBorders>
            <w:shd w:val="clear" w:color="auto" w:fill="EBECEC"/>
          </w:tcPr>
          <w:p>
            <w:pPr>
              <w:spacing w:after="0"/>
              <w:rPr>
                <w:sz w:val="23"/>
                <w:szCs w:val="23"/>
                <w:color w:val="auto"/>
              </w:rPr>
            </w:pPr>
          </w:p>
        </w:tc>
        <w:tc>
          <w:tcPr>
            <w:tcW w:w="1460" w:type="dxa"/>
            <w:vAlign w:val="bottom"/>
            <w:tcBorders>
              <w:bottom w:val="single" w:sz="8" w:color="231F20"/>
            </w:tcBorders>
            <w:shd w:val="clear" w:color="auto" w:fill="EBECEC"/>
          </w:tcPr>
          <w:p>
            <w:pPr>
              <w:jc w:val="right"/>
              <w:ind w:right="40"/>
              <w:spacing w:after="0"/>
              <w:rPr>
                <w:sz w:val="20"/>
                <w:szCs w:val="20"/>
                <w:color w:val="auto"/>
              </w:rPr>
            </w:pPr>
            <w:r>
              <w:rPr>
                <w:rFonts w:ascii="Arial" w:cs="Arial" w:eastAsia="Arial" w:hAnsi="Arial"/>
                <w:sz w:val="20"/>
                <w:szCs w:val="20"/>
                <w:color w:val="231F20"/>
              </w:rPr>
              <w:t>30,215,747</w:t>
            </w:r>
          </w:p>
        </w:tc>
        <w:tc>
          <w:tcPr>
            <w:tcW w:w="180" w:type="dxa"/>
            <w:vAlign w:val="bottom"/>
            <w:tcBorders>
              <w:bottom w:val="single" w:sz="8" w:color="EBECEC"/>
            </w:tcBorders>
            <w:shd w:val="clear" w:color="auto" w:fill="EBECEC"/>
          </w:tcPr>
          <w:p>
            <w:pPr>
              <w:spacing w:after="0"/>
              <w:rPr>
                <w:sz w:val="23"/>
                <w:szCs w:val="23"/>
                <w:color w:val="auto"/>
              </w:rPr>
            </w:pPr>
          </w:p>
        </w:tc>
        <w:tc>
          <w:tcPr>
            <w:tcW w:w="360" w:type="dxa"/>
            <w:vAlign w:val="bottom"/>
            <w:tcBorders>
              <w:bottom w:val="single" w:sz="8" w:color="231F20"/>
            </w:tcBorders>
            <w:shd w:val="clear" w:color="auto" w:fill="EBECEC"/>
          </w:tcPr>
          <w:p>
            <w:pPr>
              <w:spacing w:after="0"/>
              <w:rPr>
                <w:sz w:val="23"/>
                <w:szCs w:val="23"/>
                <w:color w:val="auto"/>
              </w:rPr>
            </w:pPr>
          </w:p>
        </w:tc>
        <w:tc>
          <w:tcPr>
            <w:tcW w:w="142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29,828,227</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20"/>
                <w:szCs w:val="20"/>
                <w:color w:val="231F20"/>
              </w:rPr>
              <w:t>Other comprehensive loss:</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4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820" w:type="dxa"/>
            <w:vAlign w:val="bottom"/>
            <w:tcBorders>
              <w:bottom w:val="single" w:sz="8" w:color="EBECEC"/>
            </w:tcBorders>
            <w:shd w:val="clear" w:color="auto" w:fill="EBECEC"/>
          </w:tcPr>
          <w:p>
            <w:pPr>
              <w:spacing w:after="0"/>
              <w:rPr>
                <w:sz w:val="20"/>
                <w:szCs w:val="20"/>
                <w:color w:val="auto"/>
              </w:rPr>
            </w:pPr>
            <w:r>
              <w:rPr>
                <w:rFonts w:ascii="Arial" w:cs="Arial" w:eastAsia="Arial" w:hAnsi="Arial"/>
                <w:sz w:val="20"/>
                <w:szCs w:val="20"/>
                <w:color w:val="231F20"/>
              </w:rPr>
              <w:t>Unrealized gain (loss) on investments</w:t>
            </w:r>
          </w:p>
        </w:tc>
        <w:tc>
          <w:tcPr>
            <w:tcW w:w="200" w:type="dxa"/>
            <w:vAlign w:val="bottom"/>
            <w:tcBorders>
              <w:bottom w:val="single" w:sz="8" w:color="EBECEC"/>
            </w:tcBorders>
            <w:shd w:val="clear" w:color="auto" w:fill="EBECEC"/>
          </w:tcPr>
          <w:p>
            <w:pPr>
              <w:spacing w:after="0"/>
              <w:rPr>
                <w:sz w:val="22"/>
                <w:szCs w:val="22"/>
                <w:color w:val="auto"/>
              </w:rPr>
            </w:pPr>
          </w:p>
        </w:tc>
        <w:tc>
          <w:tcPr>
            <w:tcW w:w="20" w:type="dxa"/>
            <w:vAlign w:val="bottom"/>
            <w:tcBorders>
              <w:bottom w:val="single" w:sz="8" w:color="EBECEC"/>
            </w:tcBorders>
            <w:shd w:val="clear" w:color="auto" w:fill="EBECEC"/>
          </w:tcPr>
          <w:p>
            <w:pPr>
              <w:spacing w:after="0"/>
              <w:rPr>
                <w:sz w:val="22"/>
                <w:szCs w:val="22"/>
                <w:color w:val="auto"/>
              </w:rPr>
            </w:pPr>
          </w:p>
        </w:tc>
        <w:tc>
          <w:tcPr>
            <w:tcW w:w="340" w:type="dxa"/>
            <w:vAlign w:val="bottom"/>
            <w:tcBorders>
              <w:bottom w:val="single" w:sz="8" w:color="231F20"/>
            </w:tcBorders>
            <w:shd w:val="clear" w:color="auto" w:fill="EBECEC"/>
          </w:tcPr>
          <w:p>
            <w:pPr>
              <w:spacing w:after="0"/>
              <w:rPr>
                <w:sz w:val="22"/>
                <w:szCs w:val="22"/>
                <w:color w:val="auto"/>
              </w:rPr>
            </w:pPr>
          </w:p>
        </w:tc>
        <w:tc>
          <w:tcPr>
            <w:tcW w:w="1460" w:type="dxa"/>
            <w:vAlign w:val="bottom"/>
            <w:tcBorders>
              <w:bottom w:val="single" w:sz="8" w:color="231F20"/>
            </w:tcBorders>
            <w:shd w:val="clear" w:color="auto" w:fill="EBECEC"/>
          </w:tcPr>
          <w:p>
            <w:pPr>
              <w:jc w:val="right"/>
              <w:ind w:right="40"/>
              <w:spacing w:after="0"/>
              <w:rPr>
                <w:sz w:val="20"/>
                <w:szCs w:val="20"/>
                <w:color w:val="auto"/>
              </w:rPr>
            </w:pPr>
            <w:r>
              <w:rPr>
                <w:rFonts w:ascii="Arial" w:cs="Arial" w:eastAsia="Arial" w:hAnsi="Arial"/>
                <w:sz w:val="20"/>
                <w:szCs w:val="20"/>
                <w:color w:val="231F20"/>
              </w:rPr>
              <w:t>26</w:t>
            </w:r>
          </w:p>
        </w:tc>
        <w:tc>
          <w:tcPr>
            <w:tcW w:w="180" w:type="dxa"/>
            <w:vAlign w:val="bottom"/>
            <w:tcBorders>
              <w:bottom w:val="single" w:sz="8" w:color="EBECEC"/>
            </w:tcBorders>
            <w:shd w:val="clear" w:color="auto" w:fill="EBECEC"/>
          </w:tcPr>
          <w:p>
            <w:pPr>
              <w:spacing w:after="0"/>
              <w:rPr>
                <w:sz w:val="22"/>
                <w:szCs w:val="22"/>
                <w:color w:val="auto"/>
              </w:rPr>
            </w:pPr>
          </w:p>
        </w:tc>
        <w:tc>
          <w:tcPr>
            <w:tcW w:w="360" w:type="dxa"/>
            <w:vAlign w:val="bottom"/>
            <w:tcBorders>
              <w:bottom w:val="single" w:sz="8" w:color="231F20"/>
            </w:tcBorders>
            <w:shd w:val="clear" w:color="auto" w:fill="EBECEC"/>
          </w:tcPr>
          <w:p>
            <w:pPr>
              <w:spacing w:after="0"/>
              <w:rPr>
                <w:sz w:val="22"/>
                <w:szCs w:val="22"/>
                <w:color w:val="auto"/>
              </w:rPr>
            </w:pPr>
          </w:p>
        </w:tc>
        <w:tc>
          <w:tcPr>
            <w:tcW w:w="142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(244)</w:t>
            </w:r>
          </w:p>
        </w:tc>
        <w:tc>
          <w:tcPr>
            <w:tcW w:w="0" w:type="dxa"/>
            <w:vAlign w:val="bottom"/>
          </w:tcPr>
          <w:p>
            <w:pPr>
              <w:spacing w:after="0"/>
              <w:rPr>
                <w:sz w:val="1"/>
                <w:szCs w:val="1"/>
                <w:color w:val="auto"/>
              </w:rPr>
            </w:pPr>
          </w:p>
        </w:tc>
      </w:tr>
      <w:tr>
        <w:trPr>
          <w:trHeight w:val="219"/>
        </w:trPr>
        <w:tc>
          <w:tcPr>
            <w:tcW w:w="6820" w:type="dxa"/>
            <w:vAlign w:val="bottom"/>
          </w:tcPr>
          <w:p>
            <w:pPr>
              <w:spacing w:after="0" w:line="219" w:lineRule="exact"/>
              <w:rPr>
                <w:sz w:val="20"/>
                <w:szCs w:val="20"/>
                <w:color w:val="auto"/>
              </w:rPr>
            </w:pPr>
            <w:r>
              <w:rPr>
                <w:rFonts w:ascii="Arial" w:cs="Arial" w:eastAsia="Arial" w:hAnsi="Arial"/>
                <w:sz w:val="20"/>
                <w:szCs w:val="20"/>
                <w:color w:val="231F20"/>
              </w:rPr>
              <w:t>Comprehensive loss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231F20"/>
            </w:tcBorders>
          </w:tcPr>
          <w:p>
            <w:pPr>
              <w:jc w:val="right"/>
              <w:ind w:right="140"/>
              <w:spacing w:after="0" w:line="219" w:lineRule="exact"/>
              <w:rPr>
                <w:sz w:val="20"/>
                <w:szCs w:val="20"/>
                <w:color w:val="auto"/>
              </w:rPr>
            </w:pPr>
            <w:r>
              <w:rPr>
                <w:rFonts w:ascii="Arial" w:cs="Arial" w:eastAsia="Arial" w:hAnsi="Arial"/>
                <w:sz w:val="20"/>
                <w:szCs w:val="20"/>
                <w:color w:val="231F20"/>
                <w:w w:val="71"/>
              </w:rPr>
              <w:t>$</w:t>
            </w:r>
          </w:p>
        </w:tc>
        <w:tc>
          <w:tcPr>
            <w:tcW w:w="1460" w:type="dxa"/>
            <w:vAlign w:val="bottom"/>
            <w:tcBorders>
              <w:bottom w:val="single" w:sz="8" w:color="231F20"/>
            </w:tcBorders>
          </w:tcPr>
          <w:p>
            <w:pPr>
              <w:jc w:val="right"/>
              <w:spacing w:after="0" w:line="219" w:lineRule="exact"/>
              <w:rPr>
                <w:sz w:val="20"/>
                <w:szCs w:val="20"/>
                <w:color w:val="auto"/>
              </w:rPr>
            </w:pPr>
            <w:r>
              <w:rPr>
                <w:rFonts w:ascii="Arial" w:cs="Arial" w:eastAsia="Arial" w:hAnsi="Arial"/>
                <w:sz w:val="20"/>
                <w:szCs w:val="20"/>
                <w:color w:val="231F20"/>
              </w:rPr>
              <w:t>(35,148)</w:t>
            </w:r>
          </w:p>
        </w:tc>
        <w:tc>
          <w:tcPr>
            <w:tcW w:w="180" w:type="dxa"/>
            <w:vAlign w:val="bottom"/>
          </w:tcPr>
          <w:p>
            <w:pPr>
              <w:spacing w:after="0"/>
              <w:rPr>
                <w:sz w:val="19"/>
                <w:szCs w:val="19"/>
                <w:color w:val="auto"/>
              </w:rPr>
            </w:pPr>
          </w:p>
        </w:tc>
        <w:tc>
          <w:tcPr>
            <w:tcW w:w="360" w:type="dxa"/>
            <w:vAlign w:val="bottom"/>
            <w:tcBorders>
              <w:bottom w:val="single" w:sz="8" w:color="231F20"/>
            </w:tcBorders>
          </w:tcPr>
          <w:p>
            <w:pPr>
              <w:jc w:val="right"/>
              <w:ind w:right="140"/>
              <w:spacing w:after="0" w:line="219" w:lineRule="exact"/>
              <w:rPr>
                <w:sz w:val="20"/>
                <w:szCs w:val="20"/>
                <w:color w:val="auto"/>
              </w:rPr>
            </w:pPr>
            <w:r>
              <w:rPr>
                <w:rFonts w:ascii="Arial" w:cs="Arial" w:eastAsia="Arial" w:hAnsi="Arial"/>
                <w:sz w:val="20"/>
                <w:szCs w:val="20"/>
                <w:color w:val="231F20"/>
                <w:w w:val="89"/>
              </w:rPr>
              <w:t>$</w:t>
            </w:r>
          </w:p>
        </w:tc>
        <w:tc>
          <w:tcPr>
            <w:tcW w:w="1420" w:type="dxa"/>
            <w:vAlign w:val="bottom"/>
            <w:tcBorders>
              <w:bottom w:val="single" w:sz="8" w:color="231F20"/>
            </w:tcBorders>
          </w:tcPr>
          <w:p>
            <w:pPr>
              <w:jc w:val="right"/>
              <w:spacing w:after="0" w:line="219" w:lineRule="exact"/>
              <w:rPr>
                <w:sz w:val="20"/>
                <w:szCs w:val="20"/>
                <w:color w:val="auto"/>
              </w:rPr>
            </w:pPr>
            <w:r>
              <w:rPr>
                <w:rFonts w:ascii="Arial" w:cs="Arial" w:eastAsia="Arial" w:hAnsi="Arial"/>
                <w:sz w:val="20"/>
                <w:szCs w:val="20"/>
                <w:color w:val="231F20"/>
              </w:rPr>
              <w:t>(51,565)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4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The accompanying notes are an integral part of these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F-4</w:t>
      </w:r>
    </w:p>
    <w:p>
      <w:pPr>
        <w:sectPr>
          <w:pgSz w:w="11880" w:h="15480" w:orient="portrait"/>
          <w:cols w:equalWidth="0" w:num="1">
            <w:col w:w="10800"/>
          </w:cols>
          <w:pgMar w:left="540" w:top="746" w:right="540"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STATEMENTS OF STOCKHOLDERS’ EQUITY</w:t>
      </w:r>
    </w:p>
    <w:p>
      <w:pPr>
        <w:jc w:val="center"/>
        <w:spacing w:after="0" w:line="231" w:lineRule="auto"/>
        <w:rPr>
          <w:sz w:val="20"/>
          <w:szCs w:val="20"/>
          <w:color w:val="auto"/>
        </w:rPr>
      </w:pPr>
      <w:r>
        <w:rPr>
          <w:rFonts w:ascii="Arial" w:cs="Arial" w:eastAsia="Arial" w:hAnsi="Arial"/>
          <w:sz w:val="20"/>
          <w:szCs w:val="20"/>
          <w:b w:val="1"/>
          <w:bCs w:val="1"/>
          <w:i w:val="1"/>
          <w:iCs w:val="1"/>
          <w:color w:val="231F20"/>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231F20"/>
              </w:rPr>
              <w:t>Accumulated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1"/>
        </w:trPr>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231F20"/>
                <w:w w:val="99"/>
              </w:rPr>
              <w:t>Additional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231F20"/>
                <w:w w:val="96"/>
              </w:rPr>
              <w:t>Other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231F20"/>
              </w:rPr>
              <w:t>Total</w:t>
            </w:r>
          </w:p>
        </w:tc>
      </w:tr>
      <w:tr>
        <w:trPr>
          <w:trHeight w:val="172"/>
        </w:trPr>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8"/>
          </w:tcPr>
          <w:p>
            <w:pPr>
              <w:ind w:left="640"/>
              <w:spacing w:after="0"/>
              <w:rPr>
                <w:sz w:val="20"/>
                <w:szCs w:val="20"/>
                <w:color w:val="auto"/>
              </w:rPr>
            </w:pPr>
            <w:r>
              <w:rPr>
                <w:rFonts w:ascii="Arial" w:cs="Arial" w:eastAsia="Arial" w:hAnsi="Arial"/>
                <w:sz w:val="14"/>
                <w:szCs w:val="14"/>
                <w:b w:val="1"/>
                <w:bCs w:val="1"/>
                <w:color w:val="231F20"/>
              </w:rPr>
              <w:t>Common Stock</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231F20"/>
                <w:w w:val="98"/>
              </w:rPr>
              <w:t>Paid-In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231F20"/>
                <w:w w:val="98"/>
              </w:rPr>
              <w:t>Comprehensive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31F20"/>
              </w:rPr>
              <w:t>Accumulated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231F20"/>
                <w:w w:val="99"/>
              </w:rPr>
              <w:t>Stockholders’</w:t>
            </w:r>
          </w:p>
        </w:tc>
      </w:tr>
      <w:tr>
        <w:trPr>
          <w:trHeight w:val="203"/>
        </w:trPr>
        <w:tc>
          <w:tcPr>
            <w:tcW w:w="4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jc w:val="right"/>
              <w:ind w:right="370"/>
              <w:spacing w:after="0"/>
              <w:rPr>
                <w:sz w:val="20"/>
                <w:szCs w:val="20"/>
                <w:color w:val="auto"/>
              </w:rPr>
            </w:pPr>
            <w:r>
              <w:rPr>
                <w:rFonts w:ascii="Arial" w:cs="Arial" w:eastAsia="Arial" w:hAnsi="Arial"/>
                <w:sz w:val="14"/>
                <w:szCs w:val="14"/>
                <w:b w:val="1"/>
                <w:bCs w:val="1"/>
                <w:color w:val="231F20"/>
              </w:rPr>
              <w:t>Shares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231F20"/>
              </w:rPr>
              <w:t>Amount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231F20"/>
                <w:w w:val="98"/>
              </w:rPr>
              <w:t>Capital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231F20"/>
                <w:w w:val="98"/>
              </w:rPr>
              <w:t>Gain (Loss)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231F20"/>
                <w:w w:val="98"/>
              </w:rPr>
              <w:t>Deficit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231F20"/>
                <w:w w:val="98"/>
              </w:rPr>
              <w:t>Equity</w:t>
            </w:r>
          </w:p>
        </w:tc>
      </w:tr>
      <w:tr>
        <w:trPr>
          <w:trHeight w:val="175"/>
        </w:trPr>
        <w:tc>
          <w:tcPr>
            <w:tcW w:w="4780" w:type="dxa"/>
            <w:vAlign w:val="bottom"/>
            <w:tcBorders>
              <w:top w:val="single" w:sz="8" w:color="EBECEC"/>
            </w:tcBorders>
            <w:gridSpan w:val="4"/>
            <w:shd w:val="clear" w:color="auto" w:fill="EBECEC"/>
          </w:tcPr>
          <w:p>
            <w:pPr>
              <w:spacing w:after="0"/>
              <w:rPr>
                <w:sz w:val="20"/>
                <w:szCs w:val="20"/>
                <w:color w:val="auto"/>
              </w:rPr>
            </w:pPr>
            <w:r>
              <w:rPr>
                <w:rFonts w:ascii="Arial" w:cs="Arial" w:eastAsia="Arial" w:hAnsi="Arial"/>
                <w:sz w:val="14"/>
                <w:szCs w:val="14"/>
                <w:b w:val="1"/>
                <w:bCs w:val="1"/>
                <w:color w:val="231F20"/>
              </w:rPr>
              <w:t>Balances at December 31, 2023</w:t>
            </w:r>
          </w:p>
        </w:tc>
        <w:tc>
          <w:tcPr>
            <w:tcW w:w="1200" w:type="dxa"/>
            <w:vAlign w:val="bottom"/>
            <w:tcBorders>
              <w:top w:val="single" w:sz="8" w:color="231F20"/>
            </w:tcBorders>
            <w:shd w:val="clear" w:color="auto" w:fill="EBECEC"/>
          </w:tcPr>
          <w:p>
            <w:pPr>
              <w:jc w:val="right"/>
              <w:ind w:right="10"/>
              <w:spacing w:after="0"/>
              <w:rPr>
                <w:sz w:val="20"/>
                <w:szCs w:val="20"/>
                <w:color w:val="auto"/>
              </w:rPr>
            </w:pPr>
            <w:r>
              <w:rPr>
                <w:rFonts w:ascii="Arial" w:cs="Arial" w:eastAsia="Arial" w:hAnsi="Arial"/>
                <w:sz w:val="14"/>
                <w:szCs w:val="14"/>
                <w:color w:val="231F20"/>
              </w:rPr>
              <w:t>29,741,445</w:t>
            </w:r>
          </w:p>
        </w:tc>
        <w:tc>
          <w:tcPr>
            <w:tcW w:w="160" w:type="dxa"/>
            <w:vAlign w:val="bottom"/>
            <w:tcBorders>
              <w:top w:val="single" w:sz="8" w:color="EBECEC"/>
            </w:tcBorders>
            <w:shd w:val="clear" w:color="auto" w:fill="EBECEC"/>
          </w:tcPr>
          <w:p>
            <w:pPr>
              <w:spacing w:after="0"/>
              <w:rPr>
                <w:sz w:val="15"/>
                <w:szCs w:val="15"/>
                <w:color w:val="auto"/>
              </w:rPr>
            </w:pPr>
          </w:p>
        </w:tc>
        <w:tc>
          <w:tcPr>
            <w:tcW w:w="20" w:type="dxa"/>
            <w:vAlign w:val="bottom"/>
            <w:tcBorders>
              <w:top w:val="single" w:sz="8" w:color="EBECEC"/>
            </w:tcBorders>
            <w:shd w:val="clear" w:color="auto" w:fill="EBECEC"/>
          </w:tcPr>
          <w:p>
            <w:pPr>
              <w:spacing w:after="0"/>
              <w:rPr>
                <w:sz w:val="15"/>
                <w:szCs w:val="15"/>
                <w:color w:val="auto"/>
              </w:rPr>
            </w:pPr>
          </w:p>
        </w:tc>
        <w:tc>
          <w:tcPr>
            <w:tcW w:w="20" w:type="dxa"/>
            <w:vAlign w:val="bottom"/>
            <w:tcBorders>
              <w:top w:val="single" w:sz="8" w:color="EBECEC"/>
            </w:tcBorders>
            <w:shd w:val="clear" w:color="auto" w:fill="EBECEC"/>
          </w:tcPr>
          <w:p>
            <w:pPr>
              <w:spacing w:after="0"/>
              <w:rPr>
                <w:sz w:val="15"/>
                <w:szCs w:val="15"/>
                <w:color w:val="auto"/>
              </w:rPr>
            </w:pPr>
          </w:p>
        </w:tc>
        <w:tc>
          <w:tcPr>
            <w:tcW w:w="120" w:type="dxa"/>
            <w:vAlign w:val="bottom"/>
            <w:tcBorders>
              <w:top w:val="single" w:sz="8" w:color="231F20"/>
            </w:tcBorders>
            <w:shd w:val="clear" w:color="auto" w:fill="EBECEC"/>
          </w:tcPr>
          <w:p>
            <w:pPr>
              <w:jc w:val="right"/>
              <w:ind w:right="55"/>
              <w:spacing w:after="0"/>
              <w:rPr>
                <w:sz w:val="20"/>
                <w:szCs w:val="20"/>
                <w:color w:val="auto"/>
              </w:rPr>
            </w:pPr>
            <w:r>
              <w:rPr>
                <w:rFonts w:ascii="Arial" w:cs="Arial" w:eastAsia="Arial" w:hAnsi="Arial"/>
                <w:sz w:val="5"/>
                <w:szCs w:val="5"/>
                <w:color w:val="231F20"/>
                <w:w w:val="70"/>
              </w:rPr>
              <w:t>$</w:t>
            </w:r>
          </w:p>
        </w:tc>
        <w:tc>
          <w:tcPr>
            <w:tcW w:w="980" w:type="dxa"/>
            <w:vAlign w:val="bottom"/>
            <w:tcBorders>
              <w:top w:val="single" w:sz="8" w:color="231F20"/>
            </w:tcBorders>
            <w:gridSpan w:val="3"/>
            <w:shd w:val="clear" w:color="auto" w:fill="EBECEC"/>
          </w:tcPr>
          <w:p>
            <w:pPr>
              <w:ind w:left="720"/>
              <w:spacing w:after="0"/>
              <w:rPr>
                <w:sz w:val="20"/>
                <w:szCs w:val="20"/>
                <w:color w:val="auto"/>
              </w:rPr>
            </w:pPr>
            <w:r>
              <w:rPr>
                <w:rFonts w:ascii="Arial" w:cs="Arial" w:eastAsia="Arial" w:hAnsi="Arial"/>
                <w:sz w:val="14"/>
                <w:szCs w:val="14"/>
                <w:color w:val="231F20"/>
              </w:rPr>
              <w:t>—</w:t>
            </w:r>
          </w:p>
        </w:tc>
        <w:tc>
          <w:tcPr>
            <w:tcW w:w="120" w:type="dxa"/>
            <w:vAlign w:val="bottom"/>
            <w:tcBorders>
              <w:top w:val="single" w:sz="8" w:color="EBECEC"/>
            </w:tcBorders>
            <w:shd w:val="clear" w:color="auto" w:fill="EBECEC"/>
          </w:tcPr>
          <w:p>
            <w:pPr>
              <w:spacing w:after="0"/>
              <w:rPr>
                <w:sz w:val="15"/>
                <w:szCs w:val="15"/>
                <w:color w:val="auto"/>
              </w:rPr>
            </w:pPr>
          </w:p>
        </w:tc>
        <w:tc>
          <w:tcPr>
            <w:tcW w:w="20" w:type="dxa"/>
            <w:vAlign w:val="bottom"/>
            <w:tcBorders>
              <w:top w:val="single" w:sz="8" w:color="EBECEC"/>
            </w:tcBorders>
            <w:shd w:val="clear" w:color="auto" w:fill="EBECEC"/>
          </w:tcPr>
          <w:p>
            <w:pPr>
              <w:spacing w:after="0"/>
              <w:rPr>
                <w:sz w:val="15"/>
                <w:szCs w:val="15"/>
                <w:color w:val="auto"/>
              </w:rPr>
            </w:pPr>
          </w:p>
        </w:tc>
        <w:tc>
          <w:tcPr>
            <w:tcW w:w="20" w:type="dxa"/>
            <w:vAlign w:val="bottom"/>
            <w:tcBorders>
              <w:top w:val="single" w:sz="8" w:color="EBECEC"/>
            </w:tcBorders>
            <w:shd w:val="clear" w:color="auto" w:fill="EBECEC"/>
          </w:tcPr>
          <w:p>
            <w:pPr>
              <w:spacing w:after="0"/>
              <w:rPr>
                <w:sz w:val="15"/>
                <w:szCs w:val="15"/>
                <w:color w:val="auto"/>
              </w:rPr>
            </w:pPr>
          </w:p>
        </w:tc>
        <w:tc>
          <w:tcPr>
            <w:tcW w:w="220" w:type="dxa"/>
            <w:vAlign w:val="bottom"/>
            <w:tcBorders>
              <w:top w:val="single" w:sz="8" w:color="231F20"/>
            </w:tcBorders>
            <w:shd w:val="clear" w:color="auto" w:fill="EBECEC"/>
          </w:tcPr>
          <w:p>
            <w:pPr>
              <w:jc w:val="right"/>
              <w:ind w:right="155"/>
              <w:spacing w:after="0"/>
              <w:rPr>
                <w:sz w:val="20"/>
                <w:szCs w:val="20"/>
                <w:color w:val="auto"/>
              </w:rPr>
            </w:pPr>
            <w:r>
              <w:rPr>
                <w:rFonts w:ascii="Arial" w:cs="Arial" w:eastAsia="Arial" w:hAnsi="Arial"/>
                <w:sz w:val="5"/>
                <w:szCs w:val="5"/>
                <w:color w:val="231F20"/>
                <w:w w:val="70"/>
              </w:rPr>
              <w:t>$</w:t>
            </w:r>
          </w:p>
        </w:tc>
        <w:tc>
          <w:tcPr>
            <w:tcW w:w="1360" w:type="dxa"/>
            <w:vAlign w:val="bottom"/>
            <w:tcBorders>
              <w:top w:val="single" w:sz="8" w:color="231F20"/>
            </w:tcBorders>
            <w:shd w:val="clear" w:color="auto" w:fill="EBECEC"/>
          </w:tcPr>
          <w:p>
            <w:pPr>
              <w:jc w:val="right"/>
              <w:spacing w:after="0"/>
              <w:rPr>
                <w:sz w:val="20"/>
                <w:szCs w:val="20"/>
                <w:color w:val="auto"/>
              </w:rPr>
            </w:pPr>
            <w:r>
              <w:rPr>
                <w:rFonts w:ascii="Arial" w:cs="Arial" w:eastAsia="Arial" w:hAnsi="Arial"/>
                <w:sz w:val="14"/>
                <w:szCs w:val="14"/>
                <w:color w:val="231F20"/>
              </w:rPr>
              <w:t>278,881</w:t>
            </w:r>
          </w:p>
        </w:tc>
        <w:tc>
          <w:tcPr>
            <w:tcW w:w="20" w:type="dxa"/>
            <w:vAlign w:val="bottom"/>
            <w:tcBorders>
              <w:top w:val="single" w:sz="8" w:color="231F20"/>
            </w:tcBorders>
            <w:shd w:val="clear" w:color="auto" w:fill="EBECEC"/>
          </w:tcPr>
          <w:p>
            <w:pPr>
              <w:spacing w:after="0"/>
              <w:rPr>
                <w:sz w:val="15"/>
                <w:szCs w:val="15"/>
                <w:color w:val="auto"/>
              </w:rPr>
            </w:pPr>
          </w:p>
        </w:tc>
        <w:tc>
          <w:tcPr>
            <w:tcW w:w="20" w:type="dxa"/>
            <w:vAlign w:val="bottom"/>
            <w:tcBorders>
              <w:top w:val="single" w:sz="8" w:color="231F20"/>
            </w:tcBorders>
            <w:shd w:val="clear" w:color="auto" w:fill="EBECEC"/>
          </w:tcPr>
          <w:p>
            <w:pPr>
              <w:spacing w:after="0"/>
              <w:rPr>
                <w:sz w:val="15"/>
                <w:szCs w:val="15"/>
                <w:color w:val="auto"/>
              </w:rPr>
            </w:pPr>
          </w:p>
        </w:tc>
        <w:tc>
          <w:tcPr>
            <w:tcW w:w="140" w:type="dxa"/>
            <w:vAlign w:val="bottom"/>
            <w:tcBorders>
              <w:top w:val="single" w:sz="8" w:color="EBECEC"/>
            </w:tcBorders>
            <w:shd w:val="clear" w:color="auto" w:fill="EBECEC"/>
          </w:tcPr>
          <w:p>
            <w:pPr>
              <w:spacing w:after="0"/>
              <w:rPr>
                <w:sz w:val="15"/>
                <w:szCs w:val="15"/>
                <w:color w:val="auto"/>
              </w:rPr>
            </w:pPr>
          </w:p>
        </w:tc>
        <w:tc>
          <w:tcPr>
            <w:tcW w:w="20" w:type="dxa"/>
            <w:vAlign w:val="bottom"/>
            <w:tcBorders>
              <w:top w:val="single" w:sz="8" w:color="EBECEC"/>
            </w:tcBorders>
            <w:shd w:val="clear" w:color="auto" w:fill="EBECEC"/>
          </w:tcPr>
          <w:p>
            <w:pPr>
              <w:spacing w:after="0"/>
              <w:rPr>
                <w:sz w:val="15"/>
                <w:szCs w:val="15"/>
                <w:color w:val="auto"/>
              </w:rPr>
            </w:pPr>
          </w:p>
        </w:tc>
        <w:tc>
          <w:tcPr>
            <w:tcW w:w="20" w:type="dxa"/>
            <w:vAlign w:val="bottom"/>
            <w:tcBorders>
              <w:top w:val="single" w:sz="8" w:color="EBECEC"/>
            </w:tcBorders>
            <w:shd w:val="clear" w:color="auto" w:fill="EBECEC"/>
          </w:tcPr>
          <w:p>
            <w:pPr>
              <w:spacing w:after="0"/>
              <w:rPr>
                <w:sz w:val="15"/>
                <w:szCs w:val="15"/>
                <w:color w:val="auto"/>
              </w:rPr>
            </w:pPr>
          </w:p>
        </w:tc>
        <w:tc>
          <w:tcPr>
            <w:tcW w:w="120" w:type="dxa"/>
            <w:vAlign w:val="bottom"/>
            <w:tcBorders>
              <w:top w:val="single" w:sz="8" w:color="231F20"/>
            </w:tcBorders>
            <w:shd w:val="clear" w:color="auto" w:fill="EBECEC"/>
          </w:tcPr>
          <w:p>
            <w:pPr>
              <w:jc w:val="right"/>
              <w:ind w:right="95"/>
              <w:spacing w:after="0"/>
              <w:rPr>
                <w:sz w:val="20"/>
                <w:szCs w:val="20"/>
                <w:color w:val="auto"/>
              </w:rPr>
            </w:pPr>
            <w:r>
              <w:rPr>
                <w:rFonts w:ascii="Arial" w:cs="Arial" w:eastAsia="Arial" w:hAnsi="Arial"/>
                <w:sz w:val="1"/>
                <w:szCs w:val="1"/>
                <w:color w:val="231F20"/>
                <w:w w:val="4294967288"/>
              </w:rPr>
              <w:t>$</w:t>
            </w:r>
          </w:p>
        </w:tc>
        <w:tc>
          <w:tcPr>
            <w:tcW w:w="1460" w:type="dxa"/>
            <w:vAlign w:val="bottom"/>
            <w:tcBorders>
              <w:top w:val="single" w:sz="8" w:color="231F20"/>
            </w:tcBorders>
            <w:shd w:val="clear" w:color="auto" w:fill="EBECEC"/>
          </w:tcPr>
          <w:p>
            <w:pPr>
              <w:jc w:val="right"/>
              <w:ind w:right="10"/>
              <w:spacing w:after="0"/>
              <w:rPr>
                <w:sz w:val="20"/>
                <w:szCs w:val="20"/>
                <w:color w:val="auto"/>
              </w:rPr>
            </w:pPr>
            <w:r>
              <w:rPr>
                <w:rFonts w:ascii="Arial" w:cs="Arial" w:eastAsia="Arial" w:hAnsi="Arial"/>
                <w:sz w:val="14"/>
                <w:szCs w:val="14"/>
                <w:color w:val="231F20"/>
              </w:rPr>
              <w:t>275</w:t>
            </w:r>
          </w:p>
        </w:tc>
        <w:tc>
          <w:tcPr>
            <w:tcW w:w="20" w:type="dxa"/>
            <w:vAlign w:val="bottom"/>
            <w:tcBorders>
              <w:top w:val="single" w:sz="8" w:color="231F20"/>
            </w:tcBorders>
            <w:shd w:val="clear" w:color="auto" w:fill="EBECEC"/>
          </w:tcPr>
          <w:p>
            <w:pPr>
              <w:spacing w:after="0"/>
              <w:rPr>
                <w:sz w:val="15"/>
                <w:szCs w:val="15"/>
                <w:color w:val="auto"/>
              </w:rPr>
            </w:pPr>
          </w:p>
        </w:tc>
        <w:tc>
          <w:tcPr>
            <w:tcW w:w="20" w:type="dxa"/>
            <w:vAlign w:val="bottom"/>
            <w:tcBorders>
              <w:top w:val="single" w:sz="8" w:color="231F20"/>
            </w:tcBorders>
            <w:shd w:val="clear" w:color="auto" w:fill="EBECEC"/>
          </w:tcPr>
          <w:p>
            <w:pPr>
              <w:spacing w:after="0"/>
              <w:rPr>
                <w:sz w:val="15"/>
                <w:szCs w:val="15"/>
                <w:color w:val="auto"/>
              </w:rPr>
            </w:pPr>
          </w:p>
        </w:tc>
        <w:tc>
          <w:tcPr>
            <w:tcW w:w="120" w:type="dxa"/>
            <w:vAlign w:val="bottom"/>
            <w:tcBorders>
              <w:top w:val="single" w:sz="8" w:color="EBECEC"/>
            </w:tcBorders>
            <w:shd w:val="clear" w:color="auto" w:fill="EBECEC"/>
          </w:tcPr>
          <w:p>
            <w:pPr>
              <w:spacing w:after="0"/>
              <w:rPr>
                <w:sz w:val="15"/>
                <w:szCs w:val="15"/>
                <w:color w:val="auto"/>
              </w:rPr>
            </w:pPr>
          </w:p>
        </w:tc>
        <w:tc>
          <w:tcPr>
            <w:tcW w:w="20" w:type="dxa"/>
            <w:vAlign w:val="bottom"/>
            <w:tcBorders>
              <w:top w:val="single" w:sz="8" w:color="EBECEC"/>
            </w:tcBorders>
            <w:shd w:val="clear" w:color="auto" w:fill="EBECEC"/>
          </w:tcPr>
          <w:p>
            <w:pPr>
              <w:spacing w:after="0"/>
              <w:rPr>
                <w:sz w:val="15"/>
                <w:szCs w:val="15"/>
                <w:color w:val="auto"/>
              </w:rPr>
            </w:pPr>
          </w:p>
        </w:tc>
        <w:tc>
          <w:tcPr>
            <w:tcW w:w="20" w:type="dxa"/>
            <w:vAlign w:val="bottom"/>
            <w:tcBorders>
              <w:top w:val="single" w:sz="8" w:color="EBECEC"/>
            </w:tcBorders>
            <w:shd w:val="clear" w:color="auto" w:fill="EBECEC"/>
          </w:tcPr>
          <w:p>
            <w:pPr>
              <w:spacing w:after="0"/>
              <w:rPr>
                <w:sz w:val="15"/>
                <w:szCs w:val="15"/>
                <w:color w:val="auto"/>
              </w:rPr>
            </w:pPr>
          </w:p>
        </w:tc>
        <w:tc>
          <w:tcPr>
            <w:tcW w:w="160" w:type="dxa"/>
            <w:vAlign w:val="bottom"/>
            <w:tcBorders>
              <w:top w:val="single" w:sz="8" w:color="231F20"/>
            </w:tcBorders>
            <w:shd w:val="clear" w:color="auto" w:fill="EBECEC"/>
          </w:tcPr>
          <w:p>
            <w:pPr>
              <w:jc w:val="right"/>
              <w:ind w:right="95"/>
              <w:spacing w:after="0"/>
              <w:rPr>
                <w:sz w:val="20"/>
                <w:szCs w:val="20"/>
                <w:color w:val="auto"/>
              </w:rPr>
            </w:pPr>
            <w:r>
              <w:rPr>
                <w:rFonts w:ascii="Arial" w:cs="Arial" w:eastAsia="Arial" w:hAnsi="Arial"/>
                <w:sz w:val="5"/>
                <w:szCs w:val="5"/>
                <w:color w:val="231F20"/>
                <w:w w:val="70"/>
              </w:rPr>
              <w:t>$</w:t>
            </w:r>
          </w:p>
        </w:tc>
        <w:tc>
          <w:tcPr>
            <w:tcW w:w="1420" w:type="dxa"/>
            <w:vAlign w:val="bottom"/>
            <w:tcBorders>
              <w:top w:val="single" w:sz="8" w:color="231F20"/>
            </w:tcBorders>
            <w:shd w:val="clear" w:color="auto" w:fill="EBECEC"/>
          </w:tcPr>
          <w:p>
            <w:pPr>
              <w:jc w:val="right"/>
              <w:spacing w:after="0"/>
              <w:rPr>
                <w:sz w:val="20"/>
                <w:szCs w:val="20"/>
                <w:color w:val="auto"/>
              </w:rPr>
            </w:pPr>
            <w:r>
              <w:rPr>
                <w:rFonts w:ascii="Arial" w:cs="Arial" w:eastAsia="Arial" w:hAnsi="Arial"/>
                <w:sz w:val="14"/>
                <w:szCs w:val="14"/>
                <w:color w:val="231F20"/>
              </w:rPr>
              <w:t>(154,455 )</w:t>
            </w:r>
          </w:p>
        </w:tc>
        <w:tc>
          <w:tcPr>
            <w:tcW w:w="0" w:type="dxa"/>
            <w:vAlign w:val="bottom"/>
            <w:tcBorders>
              <w:top w:val="single" w:sz="8" w:color="231F20"/>
            </w:tcBorders>
            <w:shd w:val="clear" w:color="auto" w:fill="EBECEC"/>
          </w:tcPr>
          <w:p>
            <w:pPr>
              <w:spacing w:after="0"/>
              <w:rPr>
                <w:sz w:val="15"/>
                <w:szCs w:val="15"/>
                <w:color w:val="auto"/>
              </w:rPr>
            </w:pPr>
          </w:p>
        </w:tc>
        <w:tc>
          <w:tcPr>
            <w:tcW w:w="180" w:type="dxa"/>
            <w:vAlign w:val="bottom"/>
            <w:tcBorders>
              <w:top w:val="single" w:sz="8" w:color="EBECEC"/>
            </w:tcBorders>
            <w:shd w:val="clear" w:color="auto" w:fill="EBECEC"/>
          </w:tcPr>
          <w:p>
            <w:pPr>
              <w:spacing w:after="0"/>
              <w:rPr>
                <w:sz w:val="15"/>
                <w:szCs w:val="15"/>
                <w:color w:val="auto"/>
              </w:rPr>
            </w:pPr>
          </w:p>
        </w:tc>
        <w:tc>
          <w:tcPr>
            <w:tcW w:w="20" w:type="dxa"/>
            <w:vAlign w:val="bottom"/>
            <w:tcBorders>
              <w:top w:val="single" w:sz="8" w:color="EBECEC"/>
            </w:tcBorders>
            <w:shd w:val="clear" w:color="auto" w:fill="EBECEC"/>
          </w:tcPr>
          <w:p>
            <w:pPr>
              <w:spacing w:after="0"/>
              <w:rPr>
                <w:sz w:val="15"/>
                <w:szCs w:val="15"/>
                <w:color w:val="auto"/>
              </w:rPr>
            </w:pPr>
          </w:p>
        </w:tc>
        <w:tc>
          <w:tcPr>
            <w:tcW w:w="20" w:type="dxa"/>
            <w:vAlign w:val="bottom"/>
            <w:tcBorders>
              <w:top w:val="single" w:sz="8" w:color="EBECEC"/>
            </w:tcBorders>
            <w:shd w:val="clear" w:color="auto" w:fill="EBECEC"/>
          </w:tcPr>
          <w:p>
            <w:pPr>
              <w:spacing w:after="0"/>
              <w:rPr>
                <w:sz w:val="15"/>
                <w:szCs w:val="15"/>
                <w:color w:val="auto"/>
              </w:rPr>
            </w:pPr>
          </w:p>
        </w:tc>
        <w:tc>
          <w:tcPr>
            <w:tcW w:w="140" w:type="dxa"/>
            <w:vAlign w:val="bottom"/>
            <w:tcBorders>
              <w:top w:val="single" w:sz="8" w:color="231F20"/>
            </w:tcBorders>
            <w:shd w:val="clear" w:color="auto" w:fill="EBECEC"/>
          </w:tcPr>
          <w:p>
            <w:pPr>
              <w:jc w:val="right"/>
              <w:ind w:right="75"/>
              <w:spacing w:after="0"/>
              <w:rPr>
                <w:sz w:val="20"/>
                <w:szCs w:val="20"/>
                <w:color w:val="auto"/>
              </w:rPr>
            </w:pPr>
            <w:r>
              <w:rPr>
                <w:rFonts w:ascii="Arial" w:cs="Arial" w:eastAsia="Arial" w:hAnsi="Arial"/>
                <w:sz w:val="5"/>
                <w:szCs w:val="5"/>
                <w:color w:val="231F20"/>
                <w:w w:val="70"/>
              </w:rPr>
              <w:t>$</w:t>
            </w:r>
          </w:p>
        </w:tc>
        <w:tc>
          <w:tcPr>
            <w:tcW w:w="1440" w:type="dxa"/>
            <w:vAlign w:val="bottom"/>
            <w:tcBorders>
              <w:top w:val="single" w:sz="8" w:color="231F20"/>
            </w:tcBorders>
            <w:shd w:val="clear" w:color="auto" w:fill="EBECEC"/>
          </w:tcPr>
          <w:p>
            <w:pPr>
              <w:jc w:val="right"/>
              <w:ind w:right="10"/>
              <w:spacing w:after="0"/>
              <w:rPr>
                <w:sz w:val="20"/>
                <w:szCs w:val="20"/>
                <w:color w:val="auto"/>
              </w:rPr>
            </w:pPr>
            <w:r>
              <w:rPr>
                <w:rFonts w:ascii="Arial" w:cs="Arial" w:eastAsia="Arial" w:hAnsi="Arial"/>
                <w:sz w:val="14"/>
                <w:szCs w:val="14"/>
                <w:color w:val="231F20"/>
              </w:rPr>
              <w:t>124,701</w:t>
            </w:r>
          </w:p>
        </w:tc>
        <w:tc>
          <w:tcPr>
            <w:tcW w:w="20" w:type="dxa"/>
            <w:vAlign w:val="bottom"/>
            <w:shd w:val="clear" w:color="auto" w:fill="EBECEC"/>
          </w:tcPr>
          <w:p>
            <w:pPr>
              <w:spacing w:after="0"/>
              <w:rPr>
                <w:sz w:val="15"/>
                <w:szCs w:val="15"/>
                <w:color w:val="auto"/>
              </w:rPr>
            </w:pPr>
          </w:p>
        </w:tc>
      </w:tr>
      <w:tr>
        <w:trPr>
          <w:trHeight w:val="175"/>
        </w:trPr>
        <w:tc>
          <w:tcPr>
            <w:tcW w:w="4780" w:type="dxa"/>
            <w:vAlign w:val="bottom"/>
            <w:gridSpan w:val="4"/>
          </w:tcPr>
          <w:p>
            <w:pPr>
              <w:spacing w:after="0"/>
              <w:rPr>
                <w:sz w:val="20"/>
                <w:szCs w:val="20"/>
                <w:color w:val="auto"/>
              </w:rPr>
            </w:pPr>
            <w:r>
              <w:rPr>
                <w:rFonts w:ascii="Arial" w:cs="Arial" w:eastAsia="Arial" w:hAnsi="Arial"/>
                <w:sz w:val="14"/>
                <w:szCs w:val="14"/>
                <w:color w:val="231F20"/>
              </w:rPr>
              <w:t>Issuance of common stock under the ESPP</w:t>
            </w:r>
          </w:p>
        </w:tc>
        <w:tc>
          <w:tcPr>
            <w:tcW w:w="1200" w:type="dxa"/>
            <w:vAlign w:val="bottom"/>
          </w:tcPr>
          <w:p>
            <w:pPr>
              <w:jc w:val="right"/>
              <w:ind w:right="10"/>
              <w:spacing w:after="0"/>
              <w:rPr>
                <w:sz w:val="20"/>
                <w:szCs w:val="20"/>
                <w:color w:val="auto"/>
              </w:rPr>
            </w:pPr>
            <w:r>
              <w:rPr>
                <w:rFonts w:ascii="Arial" w:cs="Arial" w:eastAsia="Arial" w:hAnsi="Arial"/>
                <w:sz w:val="14"/>
                <w:szCs w:val="14"/>
                <w:color w:val="231F20"/>
              </w:rPr>
              <w:t>70,700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7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31F20"/>
              </w:rPr>
              <w:t>147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231F20"/>
              </w:rPr>
              <w:t>147</w:t>
            </w:r>
          </w:p>
        </w:tc>
        <w:tc>
          <w:tcPr>
            <w:tcW w:w="20" w:type="dxa"/>
            <w:vAlign w:val="bottom"/>
          </w:tcPr>
          <w:p>
            <w:pPr>
              <w:spacing w:after="0"/>
              <w:rPr>
                <w:sz w:val="15"/>
                <w:szCs w:val="15"/>
                <w:color w:val="auto"/>
              </w:rPr>
            </w:pPr>
          </w:p>
        </w:tc>
      </w:tr>
      <w:tr>
        <w:trPr>
          <w:trHeight w:val="175"/>
        </w:trPr>
        <w:tc>
          <w:tcPr>
            <w:tcW w:w="4780" w:type="dxa"/>
            <w:vAlign w:val="bottom"/>
            <w:gridSpan w:val="4"/>
            <w:shd w:val="clear" w:color="auto" w:fill="EBECEC"/>
          </w:tcPr>
          <w:p>
            <w:pPr>
              <w:spacing w:after="0"/>
              <w:rPr>
                <w:sz w:val="20"/>
                <w:szCs w:val="20"/>
                <w:color w:val="auto"/>
              </w:rPr>
            </w:pPr>
            <w:r>
              <w:rPr>
                <w:rFonts w:ascii="Arial" w:cs="Arial" w:eastAsia="Arial" w:hAnsi="Arial"/>
                <w:sz w:val="14"/>
                <w:szCs w:val="14"/>
                <w:color w:val="231F20"/>
              </w:rPr>
              <w:t>Issuance of common stock upon exercise of stock options</w:t>
            </w:r>
          </w:p>
        </w:tc>
        <w:tc>
          <w:tcPr>
            <w:tcW w:w="120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28,930</w:t>
            </w:r>
          </w:p>
        </w:tc>
        <w:tc>
          <w:tcPr>
            <w:tcW w:w="16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980" w:type="dxa"/>
            <w:vAlign w:val="bottom"/>
            <w:gridSpan w:val="3"/>
            <w:shd w:val="clear" w:color="auto" w:fill="EBECEC"/>
          </w:tcPr>
          <w:p>
            <w:pPr>
              <w:ind w:left="7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20" w:type="dxa"/>
            <w:vAlign w:val="bottom"/>
            <w:shd w:val="clear" w:color="auto" w:fill="EBECEC"/>
          </w:tcPr>
          <w:p>
            <w:pPr>
              <w:spacing w:after="0"/>
              <w:rPr>
                <w:sz w:val="15"/>
                <w:szCs w:val="15"/>
                <w:color w:val="auto"/>
              </w:rPr>
            </w:pPr>
          </w:p>
        </w:tc>
        <w:tc>
          <w:tcPr>
            <w:tcW w:w="1360" w:type="dxa"/>
            <w:vAlign w:val="bottom"/>
            <w:shd w:val="clear" w:color="auto" w:fill="EBECEC"/>
          </w:tcPr>
          <w:p>
            <w:pPr>
              <w:jc w:val="right"/>
              <w:spacing w:after="0"/>
              <w:rPr>
                <w:sz w:val="20"/>
                <w:szCs w:val="20"/>
                <w:color w:val="auto"/>
              </w:rPr>
            </w:pPr>
            <w:r>
              <w:rPr>
                <w:rFonts w:ascii="Arial" w:cs="Arial" w:eastAsia="Arial" w:hAnsi="Arial"/>
                <w:sz w:val="14"/>
                <w:szCs w:val="14"/>
                <w:color w:val="231F20"/>
              </w:rPr>
              <w:t>225</w:t>
            </w: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4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1500" w:type="dxa"/>
            <w:vAlign w:val="bottom"/>
            <w:gridSpan w:val="3"/>
            <w:shd w:val="clear" w:color="auto" w:fill="EBECEC"/>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60" w:type="dxa"/>
            <w:vAlign w:val="bottom"/>
            <w:shd w:val="clear" w:color="auto" w:fill="EBECEC"/>
          </w:tcPr>
          <w:p>
            <w:pPr>
              <w:spacing w:after="0"/>
              <w:rPr>
                <w:sz w:val="15"/>
                <w:szCs w:val="15"/>
                <w:color w:val="auto"/>
              </w:rPr>
            </w:pPr>
          </w:p>
        </w:tc>
        <w:tc>
          <w:tcPr>
            <w:tcW w:w="1420" w:type="dxa"/>
            <w:vAlign w:val="bottom"/>
            <w:gridSpan w:val="2"/>
            <w:shd w:val="clear" w:color="auto" w:fill="EBECEC"/>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40" w:type="dxa"/>
            <w:vAlign w:val="bottom"/>
            <w:shd w:val="clear" w:color="auto" w:fill="EBECEC"/>
          </w:tcPr>
          <w:p>
            <w:pPr>
              <w:spacing w:after="0"/>
              <w:rPr>
                <w:sz w:val="15"/>
                <w:szCs w:val="15"/>
                <w:color w:val="auto"/>
              </w:rPr>
            </w:pPr>
          </w:p>
        </w:tc>
        <w:tc>
          <w:tcPr>
            <w:tcW w:w="144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225</w:t>
            </w:r>
          </w:p>
        </w:tc>
        <w:tc>
          <w:tcPr>
            <w:tcW w:w="20" w:type="dxa"/>
            <w:vAlign w:val="bottom"/>
            <w:shd w:val="clear" w:color="auto" w:fill="EBECEC"/>
          </w:tcPr>
          <w:p>
            <w:pPr>
              <w:spacing w:after="0"/>
              <w:rPr>
                <w:sz w:val="15"/>
                <w:szCs w:val="15"/>
                <w:color w:val="auto"/>
              </w:rPr>
            </w:pPr>
          </w:p>
        </w:tc>
      </w:tr>
      <w:tr>
        <w:trPr>
          <w:trHeight w:val="175"/>
        </w:trPr>
        <w:tc>
          <w:tcPr>
            <w:tcW w:w="4780" w:type="dxa"/>
            <w:vAlign w:val="bottom"/>
            <w:gridSpan w:val="4"/>
          </w:tcPr>
          <w:p>
            <w:pPr>
              <w:spacing w:after="0"/>
              <w:rPr>
                <w:sz w:val="20"/>
                <w:szCs w:val="20"/>
                <w:color w:val="auto"/>
              </w:rPr>
            </w:pPr>
            <w:r>
              <w:rPr>
                <w:rFonts w:ascii="Arial" w:cs="Arial" w:eastAsia="Arial" w:hAnsi="Arial"/>
                <w:sz w:val="14"/>
                <w:szCs w:val="14"/>
                <w:color w:val="231F20"/>
              </w:rPr>
              <w:t>Vesting of early exercised stock options</w:t>
            </w:r>
          </w:p>
        </w:tc>
        <w:tc>
          <w:tcPr>
            <w:tcW w:w="1200" w:type="dxa"/>
            <w:vAlign w:val="bottom"/>
          </w:tcPr>
          <w:p>
            <w:pPr>
              <w:jc w:val="right"/>
              <w:ind w:right="10"/>
              <w:spacing w:after="0"/>
              <w:rPr>
                <w:sz w:val="20"/>
                <w:szCs w:val="20"/>
                <w:color w:val="auto"/>
              </w:rPr>
            </w:pPr>
            <w:r>
              <w:rPr>
                <w:rFonts w:ascii="Arial" w:cs="Arial" w:eastAsia="Arial" w:hAnsi="Arial"/>
                <w:sz w:val="14"/>
                <w:szCs w:val="14"/>
                <w:color w:val="231F20"/>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7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31F20"/>
              </w:rPr>
              <w:t>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231F20"/>
              </w:rPr>
              <w:t>3</w:t>
            </w:r>
          </w:p>
        </w:tc>
        <w:tc>
          <w:tcPr>
            <w:tcW w:w="20" w:type="dxa"/>
            <w:vAlign w:val="bottom"/>
          </w:tcPr>
          <w:p>
            <w:pPr>
              <w:spacing w:after="0"/>
              <w:rPr>
                <w:sz w:val="15"/>
                <w:szCs w:val="15"/>
                <w:color w:val="auto"/>
              </w:rPr>
            </w:pPr>
          </w:p>
        </w:tc>
      </w:tr>
      <w:tr>
        <w:trPr>
          <w:trHeight w:val="175"/>
        </w:trPr>
        <w:tc>
          <w:tcPr>
            <w:tcW w:w="4780" w:type="dxa"/>
            <w:vAlign w:val="bottom"/>
            <w:gridSpan w:val="4"/>
            <w:shd w:val="clear" w:color="auto" w:fill="EBECEC"/>
          </w:tcPr>
          <w:p>
            <w:pPr>
              <w:spacing w:after="0"/>
              <w:rPr>
                <w:sz w:val="20"/>
                <w:szCs w:val="20"/>
                <w:color w:val="auto"/>
              </w:rPr>
            </w:pPr>
            <w:r>
              <w:rPr>
                <w:rFonts w:ascii="Arial" w:cs="Arial" w:eastAsia="Arial" w:hAnsi="Arial"/>
                <w:sz w:val="14"/>
                <w:szCs w:val="14"/>
                <w:color w:val="231F20"/>
              </w:rPr>
              <w:t>Issuance of common stock upon release of restricted stock units</w:t>
            </w:r>
          </w:p>
        </w:tc>
        <w:tc>
          <w:tcPr>
            <w:tcW w:w="120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38,556</w:t>
            </w:r>
          </w:p>
        </w:tc>
        <w:tc>
          <w:tcPr>
            <w:tcW w:w="16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980" w:type="dxa"/>
            <w:vAlign w:val="bottom"/>
            <w:gridSpan w:val="3"/>
            <w:shd w:val="clear" w:color="auto" w:fill="EBECEC"/>
          </w:tcPr>
          <w:p>
            <w:pPr>
              <w:ind w:left="7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20" w:type="dxa"/>
            <w:vAlign w:val="bottom"/>
            <w:shd w:val="clear" w:color="auto" w:fill="EBECEC"/>
          </w:tcPr>
          <w:p>
            <w:pPr>
              <w:spacing w:after="0"/>
              <w:rPr>
                <w:sz w:val="15"/>
                <w:szCs w:val="15"/>
                <w:color w:val="auto"/>
              </w:rPr>
            </w:pPr>
          </w:p>
        </w:tc>
        <w:tc>
          <w:tcPr>
            <w:tcW w:w="1400" w:type="dxa"/>
            <w:vAlign w:val="bottom"/>
            <w:gridSpan w:val="3"/>
            <w:shd w:val="clear" w:color="auto" w:fill="EBECEC"/>
          </w:tcPr>
          <w:p>
            <w:pPr>
              <w:jc w:val="right"/>
              <w:ind w:right="100"/>
              <w:spacing w:after="0"/>
              <w:rPr>
                <w:sz w:val="20"/>
                <w:szCs w:val="20"/>
                <w:color w:val="auto"/>
              </w:rPr>
            </w:pPr>
            <w:r>
              <w:rPr>
                <w:rFonts w:ascii="Arial" w:cs="Arial" w:eastAsia="Arial" w:hAnsi="Arial"/>
                <w:sz w:val="14"/>
                <w:szCs w:val="14"/>
                <w:color w:val="231F20"/>
              </w:rPr>
              <w:t>—</w:t>
            </w:r>
          </w:p>
        </w:tc>
        <w:tc>
          <w:tcPr>
            <w:tcW w:w="14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1500" w:type="dxa"/>
            <w:vAlign w:val="bottom"/>
            <w:gridSpan w:val="3"/>
            <w:shd w:val="clear" w:color="auto" w:fill="EBECEC"/>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60" w:type="dxa"/>
            <w:vAlign w:val="bottom"/>
            <w:shd w:val="clear" w:color="auto" w:fill="EBECEC"/>
          </w:tcPr>
          <w:p>
            <w:pPr>
              <w:spacing w:after="0"/>
              <w:rPr>
                <w:sz w:val="15"/>
                <w:szCs w:val="15"/>
                <w:color w:val="auto"/>
              </w:rPr>
            </w:pPr>
          </w:p>
        </w:tc>
        <w:tc>
          <w:tcPr>
            <w:tcW w:w="1420" w:type="dxa"/>
            <w:vAlign w:val="bottom"/>
            <w:gridSpan w:val="2"/>
            <w:shd w:val="clear" w:color="auto" w:fill="EBECEC"/>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40" w:type="dxa"/>
            <w:vAlign w:val="bottom"/>
            <w:shd w:val="clear" w:color="auto" w:fill="EBECEC"/>
          </w:tcPr>
          <w:p>
            <w:pPr>
              <w:spacing w:after="0"/>
              <w:rPr>
                <w:sz w:val="15"/>
                <w:szCs w:val="15"/>
                <w:color w:val="auto"/>
              </w:rPr>
            </w:pPr>
          </w:p>
        </w:tc>
        <w:tc>
          <w:tcPr>
            <w:tcW w:w="1460" w:type="dxa"/>
            <w:vAlign w:val="bottom"/>
            <w:gridSpan w:val="2"/>
            <w:shd w:val="clear" w:color="auto" w:fill="EBECEC"/>
          </w:tcPr>
          <w:p>
            <w:pPr>
              <w:jc w:val="right"/>
              <w:ind w:right="100"/>
              <w:spacing w:after="0"/>
              <w:rPr>
                <w:sz w:val="20"/>
                <w:szCs w:val="20"/>
                <w:color w:val="auto"/>
              </w:rPr>
            </w:pPr>
            <w:r>
              <w:rPr>
                <w:rFonts w:ascii="Arial" w:cs="Arial" w:eastAsia="Arial" w:hAnsi="Arial"/>
                <w:sz w:val="14"/>
                <w:szCs w:val="14"/>
                <w:color w:val="231F20"/>
              </w:rPr>
              <w:t>—</w:t>
            </w:r>
          </w:p>
        </w:tc>
      </w:tr>
      <w:tr>
        <w:trPr>
          <w:trHeight w:val="175"/>
        </w:trPr>
        <w:tc>
          <w:tcPr>
            <w:tcW w:w="4780" w:type="dxa"/>
            <w:vAlign w:val="bottom"/>
            <w:gridSpan w:val="4"/>
          </w:tcPr>
          <w:p>
            <w:pPr>
              <w:spacing w:after="0"/>
              <w:rPr>
                <w:sz w:val="20"/>
                <w:szCs w:val="20"/>
                <w:color w:val="auto"/>
              </w:rPr>
            </w:pPr>
            <w:r>
              <w:rPr>
                <w:rFonts w:ascii="Arial" w:cs="Arial" w:eastAsia="Arial" w:hAnsi="Arial"/>
                <w:sz w:val="14"/>
                <w:szCs w:val="14"/>
                <w:color w:val="231F20"/>
              </w:rPr>
              <w:t>Issuance of common stock upon release of restricted stock awards</w:t>
            </w:r>
          </w:p>
        </w:tc>
        <w:tc>
          <w:tcPr>
            <w:tcW w:w="1200" w:type="dxa"/>
            <w:vAlign w:val="bottom"/>
          </w:tcPr>
          <w:p>
            <w:pPr>
              <w:jc w:val="right"/>
              <w:ind w:right="10"/>
              <w:spacing w:after="0"/>
              <w:rPr>
                <w:sz w:val="20"/>
                <w:szCs w:val="20"/>
                <w:color w:val="auto"/>
              </w:rPr>
            </w:pPr>
            <w:r>
              <w:rPr>
                <w:rFonts w:ascii="Arial" w:cs="Arial" w:eastAsia="Arial" w:hAnsi="Arial"/>
                <w:sz w:val="14"/>
                <w:szCs w:val="14"/>
                <w:color w:val="231F20"/>
              </w:rPr>
              <w:t>40,003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7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231F20"/>
              </w:rPr>
              <w:t>—</w:t>
            </w:r>
          </w:p>
        </w:tc>
      </w:tr>
      <w:tr>
        <w:trPr>
          <w:trHeight w:val="175"/>
        </w:trPr>
        <w:tc>
          <w:tcPr>
            <w:tcW w:w="4780" w:type="dxa"/>
            <w:vAlign w:val="bottom"/>
            <w:gridSpan w:val="4"/>
            <w:shd w:val="clear" w:color="auto" w:fill="EBECEC"/>
          </w:tcPr>
          <w:p>
            <w:pPr>
              <w:spacing w:after="0"/>
              <w:rPr>
                <w:sz w:val="20"/>
                <w:szCs w:val="20"/>
                <w:color w:val="auto"/>
              </w:rPr>
            </w:pPr>
            <w:r>
              <w:rPr>
                <w:rFonts w:ascii="Arial" w:cs="Arial" w:eastAsia="Arial" w:hAnsi="Arial"/>
                <w:sz w:val="14"/>
                <w:szCs w:val="14"/>
                <w:color w:val="231F20"/>
              </w:rPr>
              <w:t>Stock-based compensation</w:t>
            </w:r>
          </w:p>
        </w:tc>
        <w:tc>
          <w:tcPr>
            <w:tcW w:w="120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w:t>
            </w:r>
          </w:p>
        </w:tc>
        <w:tc>
          <w:tcPr>
            <w:tcW w:w="16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980" w:type="dxa"/>
            <w:vAlign w:val="bottom"/>
            <w:gridSpan w:val="3"/>
            <w:shd w:val="clear" w:color="auto" w:fill="EBECEC"/>
          </w:tcPr>
          <w:p>
            <w:pPr>
              <w:ind w:left="7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20" w:type="dxa"/>
            <w:vAlign w:val="bottom"/>
            <w:shd w:val="clear" w:color="auto" w:fill="EBECEC"/>
          </w:tcPr>
          <w:p>
            <w:pPr>
              <w:spacing w:after="0"/>
              <w:rPr>
                <w:sz w:val="15"/>
                <w:szCs w:val="15"/>
                <w:color w:val="auto"/>
              </w:rPr>
            </w:pPr>
          </w:p>
        </w:tc>
        <w:tc>
          <w:tcPr>
            <w:tcW w:w="1360" w:type="dxa"/>
            <w:vAlign w:val="bottom"/>
            <w:shd w:val="clear" w:color="auto" w:fill="EBECEC"/>
          </w:tcPr>
          <w:p>
            <w:pPr>
              <w:jc w:val="right"/>
              <w:spacing w:after="0"/>
              <w:rPr>
                <w:sz w:val="20"/>
                <w:szCs w:val="20"/>
                <w:color w:val="auto"/>
              </w:rPr>
            </w:pPr>
            <w:r>
              <w:rPr>
                <w:rFonts w:ascii="Arial" w:cs="Arial" w:eastAsia="Arial" w:hAnsi="Arial"/>
                <w:sz w:val="14"/>
                <w:szCs w:val="14"/>
                <w:color w:val="231F20"/>
              </w:rPr>
              <w:t>8,338</w:t>
            </w: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4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1500" w:type="dxa"/>
            <w:vAlign w:val="bottom"/>
            <w:gridSpan w:val="3"/>
            <w:shd w:val="clear" w:color="auto" w:fill="EBECEC"/>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60" w:type="dxa"/>
            <w:vAlign w:val="bottom"/>
            <w:shd w:val="clear" w:color="auto" w:fill="EBECEC"/>
          </w:tcPr>
          <w:p>
            <w:pPr>
              <w:spacing w:after="0"/>
              <w:rPr>
                <w:sz w:val="15"/>
                <w:szCs w:val="15"/>
                <w:color w:val="auto"/>
              </w:rPr>
            </w:pPr>
          </w:p>
        </w:tc>
        <w:tc>
          <w:tcPr>
            <w:tcW w:w="1420" w:type="dxa"/>
            <w:vAlign w:val="bottom"/>
            <w:gridSpan w:val="2"/>
            <w:shd w:val="clear" w:color="auto" w:fill="EBECEC"/>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40" w:type="dxa"/>
            <w:vAlign w:val="bottom"/>
            <w:shd w:val="clear" w:color="auto" w:fill="EBECEC"/>
          </w:tcPr>
          <w:p>
            <w:pPr>
              <w:spacing w:after="0"/>
              <w:rPr>
                <w:sz w:val="15"/>
                <w:szCs w:val="15"/>
                <w:color w:val="auto"/>
              </w:rPr>
            </w:pPr>
          </w:p>
        </w:tc>
        <w:tc>
          <w:tcPr>
            <w:tcW w:w="144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8,338</w:t>
            </w:r>
          </w:p>
        </w:tc>
        <w:tc>
          <w:tcPr>
            <w:tcW w:w="20" w:type="dxa"/>
            <w:vAlign w:val="bottom"/>
            <w:shd w:val="clear" w:color="auto" w:fill="EBECEC"/>
          </w:tcPr>
          <w:p>
            <w:pPr>
              <w:spacing w:after="0"/>
              <w:rPr>
                <w:sz w:val="15"/>
                <w:szCs w:val="15"/>
                <w:color w:val="auto"/>
              </w:rPr>
            </w:pPr>
          </w:p>
        </w:tc>
      </w:tr>
      <w:tr>
        <w:trPr>
          <w:trHeight w:val="175"/>
        </w:trPr>
        <w:tc>
          <w:tcPr>
            <w:tcW w:w="4780" w:type="dxa"/>
            <w:vAlign w:val="bottom"/>
            <w:gridSpan w:val="4"/>
          </w:tcPr>
          <w:p>
            <w:pPr>
              <w:spacing w:after="0"/>
              <w:rPr>
                <w:sz w:val="20"/>
                <w:szCs w:val="20"/>
                <w:color w:val="auto"/>
              </w:rPr>
            </w:pPr>
            <w:r>
              <w:rPr>
                <w:rFonts w:ascii="Arial" w:cs="Arial" w:eastAsia="Arial" w:hAnsi="Arial"/>
                <w:sz w:val="14"/>
                <w:szCs w:val="14"/>
                <w:color w:val="231F20"/>
              </w:rPr>
              <w:t>Unrealized loss on available-for-sale investments</w:t>
            </w:r>
          </w:p>
        </w:tc>
        <w:tc>
          <w:tcPr>
            <w:tcW w:w="1200" w:type="dxa"/>
            <w:vAlign w:val="bottom"/>
          </w:tcPr>
          <w:p>
            <w:pPr>
              <w:jc w:val="right"/>
              <w:ind w:right="10"/>
              <w:spacing w:after="0"/>
              <w:rPr>
                <w:sz w:val="20"/>
                <w:szCs w:val="20"/>
                <w:color w:val="auto"/>
              </w:rPr>
            </w:pPr>
            <w:r>
              <w:rPr>
                <w:rFonts w:ascii="Arial" w:cs="Arial" w:eastAsia="Arial" w:hAnsi="Arial"/>
                <w:sz w:val="14"/>
                <w:szCs w:val="14"/>
                <w:color w:val="231F20"/>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7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231F20"/>
              </w:rPr>
              <w:t>(244 )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31F20"/>
              </w:rPr>
              <w:t>(244 )</w:t>
            </w:r>
          </w:p>
        </w:tc>
        <w:tc>
          <w:tcPr>
            <w:tcW w:w="20" w:type="dxa"/>
            <w:vAlign w:val="bottom"/>
          </w:tcPr>
          <w:p>
            <w:pPr>
              <w:spacing w:after="0"/>
              <w:rPr>
                <w:sz w:val="15"/>
                <w:szCs w:val="15"/>
                <w:color w:val="auto"/>
              </w:rPr>
            </w:pPr>
          </w:p>
        </w:tc>
      </w:tr>
      <w:tr>
        <w:trPr>
          <w:trHeight w:val="175"/>
        </w:trPr>
        <w:tc>
          <w:tcPr>
            <w:tcW w:w="4780" w:type="dxa"/>
            <w:vAlign w:val="bottom"/>
            <w:gridSpan w:val="4"/>
            <w:shd w:val="clear" w:color="auto" w:fill="EBECEC"/>
          </w:tcPr>
          <w:p>
            <w:pPr>
              <w:spacing w:after="0"/>
              <w:rPr>
                <w:sz w:val="20"/>
                <w:szCs w:val="20"/>
                <w:color w:val="auto"/>
              </w:rPr>
            </w:pPr>
            <w:r>
              <w:rPr>
                <w:rFonts w:ascii="Arial" w:cs="Arial" w:eastAsia="Arial" w:hAnsi="Arial"/>
                <w:sz w:val="14"/>
                <w:szCs w:val="14"/>
                <w:color w:val="231F20"/>
              </w:rPr>
              <w:t>Net loss</w:t>
            </w:r>
          </w:p>
        </w:tc>
        <w:tc>
          <w:tcPr>
            <w:tcW w:w="120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w:t>
            </w:r>
          </w:p>
        </w:tc>
        <w:tc>
          <w:tcPr>
            <w:tcW w:w="16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980" w:type="dxa"/>
            <w:vAlign w:val="bottom"/>
            <w:gridSpan w:val="3"/>
            <w:shd w:val="clear" w:color="auto" w:fill="EBECEC"/>
          </w:tcPr>
          <w:p>
            <w:pPr>
              <w:ind w:left="7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20" w:type="dxa"/>
            <w:vAlign w:val="bottom"/>
            <w:shd w:val="clear" w:color="auto" w:fill="EBECEC"/>
          </w:tcPr>
          <w:p>
            <w:pPr>
              <w:spacing w:after="0"/>
              <w:rPr>
                <w:sz w:val="15"/>
                <w:szCs w:val="15"/>
                <w:color w:val="auto"/>
              </w:rPr>
            </w:pPr>
          </w:p>
        </w:tc>
        <w:tc>
          <w:tcPr>
            <w:tcW w:w="1400" w:type="dxa"/>
            <w:vAlign w:val="bottom"/>
            <w:gridSpan w:val="3"/>
            <w:shd w:val="clear" w:color="auto" w:fill="EBECEC"/>
          </w:tcPr>
          <w:p>
            <w:pPr>
              <w:jc w:val="right"/>
              <w:ind w:right="100"/>
              <w:spacing w:after="0"/>
              <w:rPr>
                <w:sz w:val="20"/>
                <w:szCs w:val="20"/>
                <w:color w:val="auto"/>
              </w:rPr>
            </w:pPr>
            <w:r>
              <w:rPr>
                <w:rFonts w:ascii="Arial" w:cs="Arial" w:eastAsia="Arial" w:hAnsi="Arial"/>
                <w:sz w:val="14"/>
                <w:szCs w:val="14"/>
                <w:color w:val="231F20"/>
              </w:rPr>
              <w:t>—</w:t>
            </w:r>
          </w:p>
        </w:tc>
        <w:tc>
          <w:tcPr>
            <w:tcW w:w="14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1500" w:type="dxa"/>
            <w:vAlign w:val="bottom"/>
            <w:gridSpan w:val="3"/>
            <w:shd w:val="clear" w:color="auto" w:fill="EBECEC"/>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60" w:type="dxa"/>
            <w:vAlign w:val="bottom"/>
            <w:shd w:val="clear" w:color="auto" w:fill="EBECEC"/>
          </w:tcPr>
          <w:p>
            <w:pPr>
              <w:spacing w:after="0"/>
              <w:rPr>
                <w:sz w:val="15"/>
                <w:szCs w:val="15"/>
                <w:color w:val="auto"/>
              </w:rPr>
            </w:pPr>
          </w:p>
        </w:tc>
        <w:tc>
          <w:tcPr>
            <w:tcW w:w="1420" w:type="dxa"/>
            <w:vAlign w:val="bottom"/>
            <w:shd w:val="clear" w:color="auto" w:fill="EBECEC"/>
          </w:tcPr>
          <w:p>
            <w:pPr>
              <w:jc w:val="right"/>
              <w:spacing w:after="0"/>
              <w:rPr>
                <w:sz w:val="20"/>
                <w:szCs w:val="20"/>
                <w:color w:val="auto"/>
              </w:rPr>
            </w:pPr>
            <w:r>
              <w:rPr>
                <w:rFonts w:ascii="Arial" w:cs="Arial" w:eastAsia="Arial" w:hAnsi="Arial"/>
                <w:sz w:val="14"/>
                <w:szCs w:val="14"/>
                <w:color w:val="231F20"/>
              </w:rPr>
              <w:t>(51,321 )</w:t>
            </w:r>
          </w:p>
        </w:tc>
        <w:tc>
          <w:tcPr>
            <w:tcW w:w="0" w:type="dxa"/>
            <w:vAlign w:val="bottom"/>
            <w:shd w:val="clear" w:color="auto" w:fill="EBECEC"/>
          </w:tcPr>
          <w:p>
            <w:pPr>
              <w:spacing w:after="0"/>
              <w:rPr>
                <w:sz w:val="15"/>
                <w:szCs w:val="15"/>
                <w:color w:val="auto"/>
              </w:rPr>
            </w:pPr>
          </w:p>
        </w:tc>
        <w:tc>
          <w:tcPr>
            <w:tcW w:w="18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40" w:type="dxa"/>
            <w:vAlign w:val="bottom"/>
            <w:shd w:val="clear" w:color="auto" w:fill="EBECEC"/>
          </w:tcPr>
          <w:p>
            <w:pPr>
              <w:spacing w:after="0"/>
              <w:rPr>
                <w:sz w:val="15"/>
                <w:szCs w:val="15"/>
                <w:color w:val="auto"/>
              </w:rPr>
            </w:pPr>
          </w:p>
        </w:tc>
        <w:tc>
          <w:tcPr>
            <w:tcW w:w="1440" w:type="dxa"/>
            <w:vAlign w:val="bottom"/>
            <w:shd w:val="clear" w:color="auto" w:fill="EBECEC"/>
          </w:tcPr>
          <w:p>
            <w:pPr>
              <w:jc w:val="right"/>
              <w:spacing w:after="0"/>
              <w:rPr>
                <w:sz w:val="20"/>
                <w:szCs w:val="20"/>
                <w:color w:val="auto"/>
              </w:rPr>
            </w:pPr>
            <w:r>
              <w:rPr>
                <w:rFonts w:ascii="Arial" w:cs="Arial" w:eastAsia="Arial" w:hAnsi="Arial"/>
                <w:sz w:val="14"/>
                <w:szCs w:val="14"/>
                <w:color w:val="231F20"/>
              </w:rPr>
              <w:t>(51,321 )</w:t>
            </w:r>
          </w:p>
        </w:tc>
        <w:tc>
          <w:tcPr>
            <w:tcW w:w="20" w:type="dxa"/>
            <w:vAlign w:val="bottom"/>
            <w:shd w:val="clear" w:color="auto" w:fill="EBECEC"/>
          </w:tcPr>
          <w:p>
            <w:pPr>
              <w:spacing w:after="0"/>
              <w:rPr>
                <w:sz w:val="15"/>
                <w:szCs w:val="15"/>
                <w:color w:val="auto"/>
              </w:rPr>
            </w:pPr>
          </w:p>
        </w:tc>
      </w:tr>
      <w:tr>
        <w:trPr>
          <w:trHeight w:val="170"/>
        </w:trPr>
        <w:tc>
          <w:tcPr>
            <w:tcW w:w="4760" w:type="dxa"/>
            <w:vAlign w:val="bottom"/>
            <w:gridSpan w:val="3"/>
          </w:tcPr>
          <w:p>
            <w:pPr>
              <w:spacing w:after="0"/>
              <w:rPr>
                <w:sz w:val="20"/>
                <w:szCs w:val="20"/>
                <w:color w:val="auto"/>
              </w:rPr>
            </w:pPr>
            <w:r>
              <w:rPr>
                <w:rFonts w:ascii="Arial" w:cs="Arial" w:eastAsia="Arial" w:hAnsi="Arial"/>
                <w:sz w:val="14"/>
                <w:szCs w:val="14"/>
                <w:b w:val="1"/>
                <w:bCs w:val="1"/>
                <w:color w:val="231F20"/>
              </w:rPr>
              <w:t>Balances at December 31, 2024</w:t>
            </w:r>
          </w:p>
        </w:tc>
        <w:tc>
          <w:tcPr>
            <w:tcW w:w="20" w:type="dxa"/>
            <w:vAlign w:val="bottom"/>
            <w:tcBorders>
              <w:top w:val="single" w:sz="8" w:color="231F20"/>
            </w:tcBorders>
          </w:tcPr>
          <w:p>
            <w:pPr>
              <w:spacing w:after="0"/>
              <w:rPr>
                <w:sz w:val="14"/>
                <w:szCs w:val="14"/>
                <w:color w:val="auto"/>
              </w:rPr>
            </w:pPr>
          </w:p>
        </w:tc>
        <w:tc>
          <w:tcPr>
            <w:tcW w:w="1200" w:type="dxa"/>
            <w:vAlign w:val="bottom"/>
            <w:tcBorders>
              <w:top w:val="single" w:sz="8" w:color="231F20"/>
            </w:tcBorders>
          </w:tcPr>
          <w:p>
            <w:pPr>
              <w:jc w:val="right"/>
              <w:ind w:right="10"/>
              <w:spacing w:after="0"/>
              <w:rPr>
                <w:sz w:val="20"/>
                <w:szCs w:val="20"/>
                <w:color w:val="auto"/>
              </w:rPr>
            </w:pPr>
            <w:r>
              <w:rPr>
                <w:rFonts w:ascii="Arial" w:cs="Arial" w:eastAsia="Arial" w:hAnsi="Arial"/>
                <w:sz w:val="14"/>
                <w:szCs w:val="14"/>
                <w:color w:val="231F20"/>
              </w:rPr>
              <w:t>29,919,634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120" w:type="dxa"/>
            <w:vAlign w:val="bottom"/>
            <w:tcBorders>
              <w:top w:val="single" w:sz="8" w:color="231F20"/>
            </w:tcBorders>
          </w:tcPr>
          <w:p>
            <w:pPr>
              <w:spacing w:after="0"/>
              <w:rPr>
                <w:sz w:val="14"/>
                <w:szCs w:val="14"/>
                <w:color w:val="auto"/>
              </w:rPr>
            </w:pPr>
          </w:p>
        </w:tc>
        <w:tc>
          <w:tcPr>
            <w:tcW w:w="960" w:type="dxa"/>
            <w:vAlign w:val="bottom"/>
            <w:tcBorders>
              <w:top w:val="single" w:sz="8" w:color="231F20"/>
            </w:tcBorders>
            <w:gridSpan w:val="2"/>
          </w:tcPr>
          <w:p>
            <w:pPr>
              <w:ind w:left="720"/>
              <w:spacing w:after="0"/>
              <w:rPr>
                <w:sz w:val="20"/>
                <w:szCs w:val="20"/>
                <w:color w:val="auto"/>
              </w:rPr>
            </w:pPr>
            <w:r>
              <w:rPr>
                <w:rFonts w:ascii="Arial" w:cs="Arial" w:eastAsia="Arial" w:hAnsi="Arial"/>
                <w:sz w:val="14"/>
                <w:szCs w:val="14"/>
                <w:color w:val="231F20"/>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220" w:type="dxa"/>
            <w:vAlign w:val="bottom"/>
            <w:tcBorders>
              <w:top w:val="single" w:sz="8" w:color="231F20"/>
            </w:tcBorders>
          </w:tcPr>
          <w:p>
            <w:pPr>
              <w:spacing w:after="0"/>
              <w:rPr>
                <w:sz w:val="14"/>
                <w:szCs w:val="14"/>
                <w:color w:val="auto"/>
              </w:rPr>
            </w:pPr>
          </w:p>
        </w:tc>
        <w:tc>
          <w:tcPr>
            <w:tcW w:w="1360" w:type="dxa"/>
            <w:vAlign w:val="bottom"/>
            <w:tcBorders>
              <w:top w:val="single" w:sz="8" w:color="231F20"/>
            </w:tcBorders>
          </w:tcPr>
          <w:p>
            <w:pPr>
              <w:jc w:val="right"/>
              <w:spacing w:after="0"/>
              <w:rPr>
                <w:sz w:val="20"/>
                <w:szCs w:val="20"/>
                <w:color w:val="auto"/>
              </w:rPr>
            </w:pPr>
            <w:r>
              <w:rPr>
                <w:rFonts w:ascii="Arial" w:cs="Arial" w:eastAsia="Arial" w:hAnsi="Arial"/>
                <w:sz w:val="14"/>
                <w:szCs w:val="14"/>
                <w:color w:val="231F20"/>
              </w:rPr>
              <w:t>287,594</w:t>
            </w:r>
          </w:p>
        </w:tc>
        <w:tc>
          <w:tcPr>
            <w:tcW w:w="20" w:type="dxa"/>
            <w:vAlign w:val="bottom"/>
            <w:tcBorders>
              <w:top w:val="single" w:sz="8" w:color="231F20"/>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120" w:type="dxa"/>
            <w:vAlign w:val="bottom"/>
            <w:tcBorders>
              <w:top w:val="single" w:sz="8" w:color="231F20"/>
            </w:tcBorders>
          </w:tcPr>
          <w:p>
            <w:pPr>
              <w:spacing w:after="0"/>
              <w:rPr>
                <w:sz w:val="14"/>
                <w:szCs w:val="14"/>
                <w:color w:val="auto"/>
              </w:rPr>
            </w:pPr>
          </w:p>
        </w:tc>
        <w:tc>
          <w:tcPr>
            <w:tcW w:w="1460" w:type="dxa"/>
            <w:vAlign w:val="bottom"/>
            <w:tcBorders>
              <w:top w:val="single" w:sz="8" w:color="231F20"/>
            </w:tcBorders>
          </w:tcPr>
          <w:p>
            <w:pPr>
              <w:jc w:val="right"/>
              <w:ind w:right="10"/>
              <w:spacing w:after="0"/>
              <w:rPr>
                <w:sz w:val="20"/>
                <w:szCs w:val="20"/>
                <w:color w:val="auto"/>
              </w:rPr>
            </w:pPr>
            <w:r>
              <w:rPr>
                <w:rFonts w:ascii="Arial" w:cs="Arial" w:eastAsia="Arial" w:hAnsi="Arial"/>
                <w:sz w:val="14"/>
                <w:szCs w:val="14"/>
                <w:color w:val="231F20"/>
              </w:rPr>
              <w:t>31</w:t>
            </w:r>
          </w:p>
        </w:tc>
        <w:tc>
          <w:tcPr>
            <w:tcW w:w="20" w:type="dxa"/>
            <w:vAlign w:val="bottom"/>
            <w:tcBorders>
              <w:top w:val="single" w:sz="8" w:color="231F20"/>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160" w:type="dxa"/>
            <w:vAlign w:val="bottom"/>
            <w:tcBorders>
              <w:top w:val="single" w:sz="8" w:color="231F20"/>
            </w:tcBorders>
          </w:tcPr>
          <w:p>
            <w:pPr>
              <w:spacing w:after="0"/>
              <w:rPr>
                <w:sz w:val="14"/>
                <w:szCs w:val="14"/>
                <w:color w:val="auto"/>
              </w:rPr>
            </w:pPr>
          </w:p>
        </w:tc>
        <w:tc>
          <w:tcPr>
            <w:tcW w:w="1420" w:type="dxa"/>
            <w:vAlign w:val="bottom"/>
            <w:tcBorders>
              <w:top w:val="single" w:sz="8" w:color="231F20"/>
            </w:tcBorders>
          </w:tcPr>
          <w:p>
            <w:pPr>
              <w:jc w:val="right"/>
              <w:spacing w:after="0"/>
              <w:rPr>
                <w:sz w:val="20"/>
                <w:szCs w:val="20"/>
                <w:color w:val="auto"/>
              </w:rPr>
            </w:pPr>
            <w:r>
              <w:rPr>
                <w:rFonts w:ascii="Arial" w:cs="Arial" w:eastAsia="Arial" w:hAnsi="Arial"/>
                <w:sz w:val="14"/>
                <w:szCs w:val="14"/>
                <w:color w:val="231F20"/>
              </w:rPr>
              <w:t>(205,776 )</w:t>
            </w:r>
          </w:p>
        </w:tc>
        <w:tc>
          <w:tcPr>
            <w:tcW w:w="0" w:type="dxa"/>
            <w:vAlign w:val="bottom"/>
            <w:tcBorders>
              <w:top w:val="single" w:sz="8" w:color="231F20"/>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140" w:type="dxa"/>
            <w:vAlign w:val="bottom"/>
            <w:tcBorders>
              <w:top w:val="single" w:sz="8" w:color="231F20"/>
            </w:tcBorders>
          </w:tcPr>
          <w:p>
            <w:pPr>
              <w:spacing w:after="0"/>
              <w:rPr>
                <w:sz w:val="14"/>
                <w:szCs w:val="14"/>
                <w:color w:val="auto"/>
              </w:rPr>
            </w:pPr>
          </w:p>
        </w:tc>
        <w:tc>
          <w:tcPr>
            <w:tcW w:w="1440" w:type="dxa"/>
            <w:vAlign w:val="bottom"/>
            <w:tcBorders>
              <w:top w:val="single" w:sz="8" w:color="231F20"/>
            </w:tcBorders>
          </w:tcPr>
          <w:p>
            <w:pPr>
              <w:jc w:val="right"/>
              <w:ind w:right="10"/>
              <w:spacing w:after="0"/>
              <w:rPr>
                <w:sz w:val="20"/>
                <w:szCs w:val="20"/>
                <w:color w:val="auto"/>
              </w:rPr>
            </w:pPr>
            <w:r>
              <w:rPr>
                <w:rFonts w:ascii="Arial" w:cs="Arial" w:eastAsia="Arial" w:hAnsi="Arial"/>
                <w:sz w:val="14"/>
                <w:szCs w:val="14"/>
                <w:color w:val="231F20"/>
              </w:rPr>
              <w:t>81,849</w:t>
            </w:r>
          </w:p>
        </w:tc>
        <w:tc>
          <w:tcPr>
            <w:tcW w:w="20" w:type="dxa"/>
            <w:vAlign w:val="bottom"/>
          </w:tcPr>
          <w:p>
            <w:pPr>
              <w:spacing w:after="0"/>
              <w:rPr>
                <w:sz w:val="14"/>
                <w:szCs w:val="14"/>
                <w:color w:val="auto"/>
              </w:rPr>
            </w:pPr>
          </w:p>
        </w:tc>
      </w:tr>
      <w:tr>
        <w:trPr>
          <w:trHeight w:val="175"/>
        </w:trPr>
        <w:tc>
          <w:tcPr>
            <w:tcW w:w="4780" w:type="dxa"/>
            <w:vAlign w:val="bottom"/>
            <w:gridSpan w:val="4"/>
            <w:shd w:val="clear" w:color="auto" w:fill="EBECEC"/>
          </w:tcPr>
          <w:p>
            <w:pPr>
              <w:spacing w:after="0"/>
              <w:rPr>
                <w:sz w:val="20"/>
                <w:szCs w:val="20"/>
                <w:color w:val="auto"/>
              </w:rPr>
            </w:pPr>
            <w:r>
              <w:rPr>
                <w:rFonts w:ascii="Arial" w:cs="Arial" w:eastAsia="Arial" w:hAnsi="Arial"/>
                <w:sz w:val="14"/>
                <w:szCs w:val="14"/>
                <w:color w:val="231F20"/>
              </w:rPr>
              <w:t>Issuance of common stock under the ESPP</w:t>
            </w:r>
          </w:p>
        </w:tc>
        <w:tc>
          <w:tcPr>
            <w:tcW w:w="120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87,045</w:t>
            </w:r>
          </w:p>
        </w:tc>
        <w:tc>
          <w:tcPr>
            <w:tcW w:w="16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980" w:type="dxa"/>
            <w:vAlign w:val="bottom"/>
            <w:gridSpan w:val="3"/>
            <w:shd w:val="clear" w:color="auto" w:fill="EBECEC"/>
          </w:tcPr>
          <w:p>
            <w:pPr>
              <w:ind w:left="7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20" w:type="dxa"/>
            <w:vAlign w:val="bottom"/>
            <w:shd w:val="clear" w:color="auto" w:fill="EBECEC"/>
          </w:tcPr>
          <w:p>
            <w:pPr>
              <w:spacing w:after="0"/>
              <w:rPr>
                <w:sz w:val="15"/>
                <w:szCs w:val="15"/>
                <w:color w:val="auto"/>
              </w:rPr>
            </w:pPr>
          </w:p>
        </w:tc>
        <w:tc>
          <w:tcPr>
            <w:tcW w:w="1360" w:type="dxa"/>
            <w:vAlign w:val="bottom"/>
            <w:shd w:val="clear" w:color="auto" w:fill="EBECEC"/>
          </w:tcPr>
          <w:p>
            <w:pPr>
              <w:jc w:val="right"/>
              <w:spacing w:after="0"/>
              <w:rPr>
                <w:sz w:val="20"/>
                <w:szCs w:val="20"/>
                <w:color w:val="auto"/>
              </w:rPr>
            </w:pPr>
            <w:r>
              <w:rPr>
                <w:rFonts w:ascii="Arial" w:cs="Arial" w:eastAsia="Arial" w:hAnsi="Arial"/>
                <w:sz w:val="14"/>
                <w:szCs w:val="14"/>
                <w:color w:val="231F20"/>
              </w:rPr>
              <w:t>86</w:t>
            </w: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4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1500" w:type="dxa"/>
            <w:vAlign w:val="bottom"/>
            <w:gridSpan w:val="3"/>
            <w:shd w:val="clear" w:color="auto" w:fill="EBECEC"/>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60" w:type="dxa"/>
            <w:vAlign w:val="bottom"/>
            <w:shd w:val="clear" w:color="auto" w:fill="EBECEC"/>
          </w:tcPr>
          <w:p>
            <w:pPr>
              <w:spacing w:after="0"/>
              <w:rPr>
                <w:sz w:val="15"/>
                <w:szCs w:val="15"/>
                <w:color w:val="auto"/>
              </w:rPr>
            </w:pPr>
          </w:p>
        </w:tc>
        <w:tc>
          <w:tcPr>
            <w:tcW w:w="1420" w:type="dxa"/>
            <w:vAlign w:val="bottom"/>
            <w:gridSpan w:val="2"/>
            <w:shd w:val="clear" w:color="auto" w:fill="EBECEC"/>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40" w:type="dxa"/>
            <w:vAlign w:val="bottom"/>
            <w:shd w:val="clear" w:color="auto" w:fill="EBECEC"/>
          </w:tcPr>
          <w:p>
            <w:pPr>
              <w:spacing w:after="0"/>
              <w:rPr>
                <w:sz w:val="15"/>
                <w:szCs w:val="15"/>
                <w:color w:val="auto"/>
              </w:rPr>
            </w:pPr>
          </w:p>
        </w:tc>
        <w:tc>
          <w:tcPr>
            <w:tcW w:w="144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86</w:t>
            </w:r>
          </w:p>
        </w:tc>
        <w:tc>
          <w:tcPr>
            <w:tcW w:w="20" w:type="dxa"/>
            <w:vAlign w:val="bottom"/>
            <w:shd w:val="clear" w:color="auto" w:fill="EBECEC"/>
          </w:tcPr>
          <w:p>
            <w:pPr>
              <w:spacing w:after="0"/>
              <w:rPr>
                <w:sz w:val="15"/>
                <w:szCs w:val="15"/>
                <w:color w:val="auto"/>
              </w:rPr>
            </w:pPr>
          </w:p>
        </w:tc>
      </w:tr>
      <w:tr>
        <w:trPr>
          <w:trHeight w:val="175"/>
        </w:trPr>
        <w:tc>
          <w:tcPr>
            <w:tcW w:w="4780" w:type="dxa"/>
            <w:vAlign w:val="bottom"/>
            <w:gridSpan w:val="4"/>
          </w:tcPr>
          <w:p>
            <w:pPr>
              <w:spacing w:after="0"/>
              <w:rPr>
                <w:sz w:val="20"/>
                <w:szCs w:val="20"/>
                <w:color w:val="auto"/>
              </w:rPr>
            </w:pPr>
            <w:r>
              <w:rPr>
                <w:rFonts w:ascii="Arial" w:cs="Arial" w:eastAsia="Arial" w:hAnsi="Arial"/>
                <w:sz w:val="14"/>
                <w:szCs w:val="14"/>
                <w:color w:val="231F20"/>
              </w:rPr>
              <w:t>Issuance of common stock upon exercise of stock options</w:t>
            </w:r>
          </w:p>
        </w:tc>
        <w:tc>
          <w:tcPr>
            <w:tcW w:w="1200" w:type="dxa"/>
            <w:vAlign w:val="bottom"/>
          </w:tcPr>
          <w:p>
            <w:pPr>
              <w:jc w:val="right"/>
              <w:ind w:right="10"/>
              <w:spacing w:after="0"/>
              <w:rPr>
                <w:sz w:val="20"/>
                <w:szCs w:val="20"/>
                <w:color w:val="auto"/>
              </w:rPr>
            </w:pPr>
            <w:r>
              <w:rPr>
                <w:rFonts w:ascii="Arial" w:cs="Arial" w:eastAsia="Arial" w:hAnsi="Arial"/>
                <w:sz w:val="14"/>
                <w:szCs w:val="14"/>
                <w:color w:val="231F20"/>
              </w:rPr>
              <w:t>63,124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7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31F20"/>
              </w:rPr>
              <w:t>27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231F20"/>
              </w:rPr>
              <w:t>27</w:t>
            </w:r>
          </w:p>
        </w:tc>
        <w:tc>
          <w:tcPr>
            <w:tcW w:w="20" w:type="dxa"/>
            <w:vAlign w:val="bottom"/>
          </w:tcPr>
          <w:p>
            <w:pPr>
              <w:spacing w:after="0"/>
              <w:rPr>
                <w:sz w:val="15"/>
                <w:szCs w:val="15"/>
                <w:color w:val="auto"/>
              </w:rPr>
            </w:pPr>
          </w:p>
        </w:tc>
      </w:tr>
      <w:tr>
        <w:trPr>
          <w:trHeight w:val="175"/>
        </w:trPr>
        <w:tc>
          <w:tcPr>
            <w:tcW w:w="4780" w:type="dxa"/>
            <w:vAlign w:val="bottom"/>
            <w:gridSpan w:val="4"/>
            <w:shd w:val="clear" w:color="auto" w:fill="EBECEC"/>
          </w:tcPr>
          <w:p>
            <w:pPr>
              <w:spacing w:after="0"/>
              <w:rPr>
                <w:sz w:val="20"/>
                <w:szCs w:val="20"/>
                <w:color w:val="auto"/>
              </w:rPr>
            </w:pPr>
            <w:r>
              <w:rPr>
                <w:rFonts w:ascii="Arial" w:cs="Arial" w:eastAsia="Arial" w:hAnsi="Arial"/>
                <w:sz w:val="14"/>
                <w:szCs w:val="14"/>
                <w:color w:val="231F20"/>
              </w:rPr>
              <w:t>Issuance of common stock upon release of restricted stock units</w:t>
            </w:r>
          </w:p>
        </w:tc>
        <w:tc>
          <w:tcPr>
            <w:tcW w:w="120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295,368</w:t>
            </w:r>
          </w:p>
        </w:tc>
        <w:tc>
          <w:tcPr>
            <w:tcW w:w="16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980" w:type="dxa"/>
            <w:vAlign w:val="bottom"/>
            <w:gridSpan w:val="3"/>
            <w:shd w:val="clear" w:color="auto" w:fill="EBECEC"/>
          </w:tcPr>
          <w:p>
            <w:pPr>
              <w:ind w:left="7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20" w:type="dxa"/>
            <w:vAlign w:val="bottom"/>
            <w:shd w:val="clear" w:color="auto" w:fill="EBECEC"/>
          </w:tcPr>
          <w:p>
            <w:pPr>
              <w:spacing w:after="0"/>
              <w:rPr>
                <w:sz w:val="15"/>
                <w:szCs w:val="15"/>
                <w:color w:val="auto"/>
              </w:rPr>
            </w:pPr>
          </w:p>
        </w:tc>
        <w:tc>
          <w:tcPr>
            <w:tcW w:w="1400" w:type="dxa"/>
            <w:vAlign w:val="bottom"/>
            <w:gridSpan w:val="3"/>
            <w:shd w:val="clear" w:color="auto" w:fill="EBECEC"/>
          </w:tcPr>
          <w:p>
            <w:pPr>
              <w:jc w:val="right"/>
              <w:ind w:right="100"/>
              <w:spacing w:after="0"/>
              <w:rPr>
                <w:sz w:val="20"/>
                <w:szCs w:val="20"/>
                <w:color w:val="auto"/>
              </w:rPr>
            </w:pPr>
            <w:r>
              <w:rPr>
                <w:rFonts w:ascii="Arial" w:cs="Arial" w:eastAsia="Arial" w:hAnsi="Arial"/>
                <w:sz w:val="14"/>
                <w:szCs w:val="14"/>
                <w:color w:val="231F20"/>
              </w:rPr>
              <w:t>—</w:t>
            </w:r>
          </w:p>
        </w:tc>
        <w:tc>
          <w:tcPr>
            <w:tcW w:w="14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1500" w:type="dxa"/>
            <w:vAlign w:val="bottom"/>
            <w:gridSpan w:val="3"/>
            <w:shd w:val="clear" w:color="auto" w:fill="EBECEC"/>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60" w:type="dxa"/>
            <w:vAlign w:val="bottom"/>
            <w:shd w:val="clear" w:color="auto" w:fill="EBECEC"/>
          </w:tcPr>
          <w:p>
            <w:pPr>
              <w:spacing w:after="0"/>
              <w:rPr>
                <w:sz w:val="15"/>
                <w:szCs w:val="15"/>
                <w:color w:val="auto"/>
              </w:rPr>
            </w:pPr>
          </w:p>
        </w:tc>
        <w:tc>
          <w:tcPr>
            <w:tcW w:w="1420" w:type="dxa"/>
            <w:vAlign w:val="bottom"/>
            <w:gridSpan w:val="2"/>
            <w:shd w:val="clear" w:color="auto" w:fill="EBECEC"/>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40" w:type="dxa"/>
            <w:vAlign w:val="bottom"/>
            <w:shd w:val="clear" w:color="auto" w:fill="EBECEC"/>
          </w:tcPr>
          <w:p>
            <w:pPr>
              <w:spacing w:after="0"/>
              <w:rPr>
                <w:sz w:val="15"/>
                <w:szCs w:val="15"/>
                <w:color w:val="auto"/>
              </w:rPr>
            </w:pPr>
          </w:p>
        </w:tc>
        <w:tc>
          <w:tcPr>
            <w:tcW w:w="1460" w:type="dxa"/>
            <w:vAlign w:val="bottom"/>
            <w:gridSpan w:val="2"/>
            <w:shd w:val="clear" w:color="auto" w:fill="EBECEC"/>
          </w:tcPr>
          <w:p>
            <w:pPr>
              <w:jc w:val="right"/>
              <w:ind w:right="100"/>
              <w:spacing w:after="0"/>
              <w:rPr>
                <w:sz w:val="20"/>
                <w:szCs w:val="20"/>
                <w:color w:val="auto"/>
              </w:rPr>
            </w:pPr>
            <w:r>
              <w:rPr>
                <w:rFonts w:ascii="Arial" w:cs="Arial" w:eastAsia="Arial" w:hAnsi="Arial"/>
                <w:sz w:val="14"/>
                <w:szCs w:val="14"/>
                <w:color w:val="231F20"/>
              </w:rPr>
              <w:t>—</w:t>
            </w:r>
          </w:p>
        </w:tc>
      </w:tr>
      <w:tr>
        <w:trPr>
          <w:trHeight w:val="175"/>
        </w:trPr>
        <w:tc>
          <w:tcPr>
            <w:tcW w:w="4780" w:type="dxa"/>
            <w:vAlign w:val="bottom"/>
            <w:gridSpan w:val="4"/>
          </w:tcPr>
          <w:p>
            <w:pPr>
              <w:spacing w:after="0"/>
              <w:rPr>
                <w:sz w:val="20"/>
                <w:szCs w:val="20"/>
                <w:color w:val="auto"/>
              </w:rPr>
            </w:pPr>
            <w:r>
              <w:rPr>
                <w:rFonts w:ascii="Arial" w:cs="Arial" w:eastAsia="Arial" w:hAnsi="Arial"/>
                <w:sz w:val="14"/>
                <w:szCs w:val="14"/>
                <w:color w:val="231F20"/>
              </w:rPr>
              <w:t>Stock-based compensation</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7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31F20"/>
              </w:rPr>
              <w:t>6,246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231F20"/>
              </w:rPr>
              <w:t>6,246</w:t>
            </w:r>
          </w:p>
        </w:tc>
        <w:tc>
          <w:tcPr>
            <w:tcW w:w="20" w:type="dxa"/>
            <w:vAlign w:val="bottom"/>
          </w:tcPr>
          <w:p>
            <w:pPr>
              <w:spacing w:after="0"/>
              <w:rPr>
                <w:sz w:val="15"/>
                <w:szCs w:val="15"/>
                <w:color w:val="auto"/>
              </w:rPr>
            </w:pPr>
          </w:p>
        </w:tc>
      </w:tr>
      <w:tr>
        <w:trPr>
          <w:trHeight w:val="175"/>
        </w:trPr>
        <w:tc>
          <w:tcPr>
            <w:tcW w:w="4780" w:type="dxa"/>
            <w:vAlign w:val="bottom"/>
            <w:gridSpan w:val="4"/>
            <w:shd w:val="clear" w:color="auto" w:fill="EBECEC"/>
          </w:tcPr>
          <w:p>
            <w:pPr>
              <w:spacing w:after="0"/>
              <w:rPr>
                <w:sz w:val="20"/>
                <w:szCs w:val="20"/>
                <w:color w:val="auto"/>
              </w:rPr>
            </w:pPr>
            <w:r>
              <w:rPr>
                <w:rFonts w:ascii="Arial" w:cs="Arial" w:eastAsia="Arial" w:hAnsi="Arial"/>
                <w:sz w:val="14"/>
                <w:szCs w:val="14"/>
                <w:color w:val="231F20"/>
              </w:rPr>
              <w:t>Unrealized gain on available-for-sale investments</w:t>
            </w:r>
          </w:p>
        </w:tc>
        <w:tc>
          <w:tcPr>
            <w:tcW w:w="120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w:t>
            </w:r>
          </w:p>
        </w:tc>
        <w:tc>
          <w:tcPr>
            <w:tcW w:w="16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980" w:type="dxa"/>
            <w:vAlign w:val="bottom"/>
            <w:gridSpan w:val="3"/>
            <w:shd w:val="clear" w:color="auto" w:fill="EBECEC"/>
          </w:tcPr>
          <w:p>
            <w:pPr>
              <w:ind w:left="7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20" w:type="dxa"/>
            <w:vAlign w:val="bottom"/>
            <w:shd w:val="clear" w:color="auto" w:fill="EBECEC"/>
          </w:tcPr>
          <w:p>
            <w:pPr>
              <w:spacing w:after="0"/>
              <w:rPr>
                <w:sz w:val="15"/>
                <w:szCs w:val="15"/>
                <w:color w:val="auto"/>
              </w:rPr>
            </w:pPr>
          </w:p>
        </w:tc>
        <w:tc>
          <w:tcPr>
            <w:tcW w:w="1400" w:type="dxa"/>
            <w:vAlign w:val="bottom"/>
            <w:gridSpan w:val="3"/>
            <w:shd w:val="clear" w:color="auto" w:fill="EBECEC"/>
          </w:tcPr>
          <w:p>
            <w:pPr>
              <w:jc w:val="right"/>
              <w:ind w:right="100"/>
              <w:spacing w:after="0"/>
              <w:rPr>
                <w:sz w:val="20"/>
                <w:szCs w:val="20"/>
                <w:color w:val="auto"/>
              </w:rPr>
            </w:pPr>
            <w:r>
              <w:rPr>
                <w:rFonts w:ascii="Arial" w:cs="Arial" w:eastAsia="Arial" w:hAnsi="Arial"/>
                <w:sz w:val="14"/>
                <w:szCs w:val="14"/>
                <w:color w:val="231F20"/>
              </w:rPr>
              <w:t>—</w:t>
            </w:r>
          </w:p>
        </w:tc>
        <w:tc>
          <w:tcPr>
            <w:tcW w:w="14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146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26</w:t>
            </w: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60" w:type="dxa"/>
            <w:vAlign w:val="bottom"/>
            <w:shd w:val="clear" w:color="auto" w:fill="EBECEC"/>
          </w:tcPr>
          <w:p>
            <w:pPr>
              <w:spacing w:after="0"/>
              <w:rPr>
                <w:sz w:val="15"/>
                <w:szCs w:val="15"/>
                <w:color w:val="auto"/>
              </w:rPr>
            </w:pPr>
          </w:p>
        </w:tc>
        <w:tc>
          <w:tcPr>
            <w:tcW w:w="1420" w:type="dxa"/>
            <w:vAlign w:val="bottom"/>
            <w:gridSpan w:val="2"/>
            <w:shd w:val="clear" w:color="auto" w:fill="EBECEC"/>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40" w:type="dxa"/>
            <w:vAlign w:val="bottom"/>
            <w:shd w:val="clear" w:color="auto" w:fill="EBECEC"/>
          </w:tcPr>
          <w:p>
            <w:pPr>
              <w:spacing w:after="0"/>
              <w:rPr>
                <w:sz w:val="15"/>
                <w:szCs w:val="15"/>
                <w:color w:val="auto"/>
              </w:rPr>
            </w:pPr>
          </w:p>
        </w:tc>
        <w:tc>
          <w:tcPr>
            <w:tcW w:w="144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26</w:t>
            </w:r>
          </w:p>
        </w:tc>
        <w:tc>
          <w:tcPr>
            <w:tcW w:w="20" w:type="dxa"/>
            <w:vAlign w:val="bottom"/>
            <w:shd w:val="clear" w:color="auto" w:fill="EBECEC"/>
          </w:tcPr>
          <w:p>
            <w:pPr>
              <w:spacing w:after="0"/>
              <w:rPr>
                <w:sz w:val="15"/>
                <w:szCs w:val="15"/>
                <w:color w:val="auto"/>
              </w:rPr>
            </w:pPr>
          </w:p>
        </w:tc>
      </w:tr>
      <w:tr>
        <w:trPr>
          <w:trHeight w:val="175"/>
        </w:trPr>
        <w:tc>
          <w:tcPr>
            <w:tcW w:w="4780" w:type="dxa"/>
            <w:vAlign w:val="bottom"/>
            <w:gridSpan w:val="4"/>
          </w:tcPr>
          <w:p>
            <w:pPr>
              <w:spacing w:after="0"/>
              <w:rPr>
                <w:sz w:val="20"/>
                <w:szCs w:val="20"/>
                <w:color w:val="auto"/>
              </w:rPr>
            </w:pPr>
            <w:r>
              <w:rPr>
                <w:rFonts w:ascii="Arial" w:cs="Arial" w:eastAsia="Arial" w:hAnsi="Arial"/>
                <w:sz w:val="14"/>
                <w:szCs w:val="14"/>
                <w:color w:val="231F20"/>
              </w:rPr>
              <w:t>Issuance of pre-funded warrants in exchange for common stock</w:t>
            </w:r>
          </w:p>
        </w:tc>
        <w:tc>
          <w:tcPr>
            <w:tcW w:w="1200" w:type="dxa"/>
            <w:vAlign w:val="bottom"/>
          </w:tcPr>
          <w:p>
            <w:pPr>
              <w:jc w:val="right"/>
              <w:spacing w:after="0"/>
              <w:rPr>
                <w:sz w:val="20"/>
                <w:szCs w:val="20"/>
                <w:color w:val="auto"/>
              </w:rPr>
            </w:pPr>
            <w:r>
              <w:rPr>
                <w:rFonts w:ascii="Arial" w:cs="Arial" w:eastAsia="Arial" w:hAnsi="Arial"/>
                <w:sz w:val="14"/>
                <w:szCs w:val="14"/>
                <w:color w:val="231F20"/>
              </w:rPr>
              <w:t>(2,952,000 )</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7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231F20"/>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231F20"/>
              </w:rPr>
              <w:t>—</w:t>
            </w:r>
          </w:p>
        </w:tc>
      </w:tr>
      <w:tr>
        <w:trPr>
          <w:trHeight w:val="195"/>
        </w:trPr>
        <w:tc>
          <w:tcPr>
            <w:tcW w:w="4780" w:type="dxa"/>
            <w:vAlign w:val="bottom"/>
            <w:gridSpan w:val="4"/>
            <w:shd w:val="clear" w:color="auto" w:fill="EBECEC"/>
          </w:tcPr>
          <w:p>
            <w:pPr>
              <w:spacing w:after="0"/>
              <w:rPr>
                <w:sz w:val="20"/>
                <w:szCs w:val="20"/>
                <w:color w:val="auto"/>
              </w:rPr>
            </w:pPr>
            <w:r>
              <w:rPr>
                <w:rFonts w:ascii="Arial" w:cs="Arial" w:eastAsia="Arial" w:hAnsi="Arial"/>
                <w:sz w:val="14"/>
                <w:szCs w:val="14"/>
                <w:color w:val="231F20"/>
              </w:rPr>
              <w:t>Net loss</w:t>
            </w:r>
          </w:p>
        </w:tc>
        <w:tc>
          <w:tcPr>
            <w:tcW w:w="1200" w:type="dxa"/>
            <w:vAlign w:val="bottom"/>
            <w:shd w:val="clear" w:color="auto" w:fill="EBECEC"/>
          </w:tcPr>
          <w:p>
            <w:pPr>
              <w:jc w:val="right"/>
              <w:ind w:right="10"/>
              <w:spacing w:after="0"/>
              <w:rPr>
                <w:sz w:val="20"/>
                <w:szCs w:val="20"/>
                <w:color w:val="auto"/>
              </w:rPr>
            </w:pPr>
            <w:r>
              <w:rPr>
                <w:rFonts w:ascii="Arial" w:cs="Arial" w:eastAsia="Arial" w:hAnsi="Arial"/>
                <w:sz w:val="14"/>
                <w:szCs w:val="14"/>
                <w:color w:val="231F20"/>
              </w:rPr>
              <w:t>—</w:t>
            </w:r>
          </w:p>
        </w:tc>
        <w:tc>
          <w:tcPr>
            <w:tcW w:w="160" w:type="dxa"/>
            <w:vAlign w:val="bottom"/>
            <w:shd w:val="clear" w:color="auto" w:fill="EBECEC"/>
          </w:tcPr>
          <w:p>
            <w:pPr>
              <w:spacing w:after="0"/>
              <w:rPr>
                <w:sz w:val="16"/>
                <w:szCs w:val="16"/>
                <w:color w:val="auto"/>
              </w:rPr>
            </w:pPr>
          </w:p>
        </w:tc>
        <w:tc>
          <w:tcPr>
            <w:tcW w:w="20" w:type="dxa"/>
            <w:vAlign w:val="bottom"/>
            <w:shd w:val="clear" w:color="auto" w:fill="EBECEC"/>
          </w:tcPr>
          <w:p>
            <w:pPr>
              <w:spacing w:after="0"/>
              <w:rPr>
                <w:sz w:val="16"/>
                <w:szCs w:val="16"/>
                <w:color w:val="auto"/>
              </w:rPr>
            </w:pPr>
          </w:p>
        </w:tc>
        <w:tc>
          <w:tcPr>
            <w:tcW w:w="20" w:type="dxa"/>
            <w:vAlign w:val="bottom"/>
            <w:shd w:val="clear" w:color="auto" w:fill="EBECEC"/>
          </w:tcPr>
          <w:p>
            <w:pPr>
              <w:spacing w:after="0"/>
              <w:rPr>
                <w:sz w:val="16"/>
                <w:szCs w:val="16"/>
                <w:color w:val="auto"/>
              </w:rPr>
            </w:pPr>
          </w:p>
        </w:tc>
        <w:tc>
          <w:tcPr>
            <w:tcW w:w="120" w:type="dxa"/>
            <w:vAlign w:val="bottom"/>
            <w:shd w:val="clear" w:color="auto" w:fill="EBECEC"/>
          </w:tcPr>
          <w:p>
            <w:pPr>
              <w:spacing w:after="0"/>
              <w:rPr>
                <w:sz w:val="16"/>
                <w:szCs w:val="16"/>
                <w:color w:val="auto"/>
              </w:rPr>
            </w:pPr>
          </w:p>
        </w:tc>
        <w:tc>
          <w:tcPr>
            <w:tcW w:w="980" w:type="dxa"/>
            <w:vAlign w:val="bottom"/>
            <w:gridSpan w:val="3"/>
            <w:shd w:val="clear" w:color="auto" w:fill="EBECEC"/>
          </w:tcPr>
          <w:p>
            <w:pPr>
              <w:ind w:left="7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6"/>
                <w:szCs w:val="16"/>
                <w:color w:val="auto"/>
              </w:rPr>
            </w:pPr>
          </w:p>
        </w:tc>
        <w:tc>
          <w:tcPr>
            <w:tcW w:w="20" w:type="dxa"/>
            <w:vAlign w:val="bottom"/>
            <w:shd w:val="clear" w:color="auto" w:fill="EBECEC"/>
          </w:tcPr>
          <w:p>
            <w:pPr>
              <w:spacing w:after="0"/>
              <w:rPr>
                <w:sz w:val="16"/>
                <w:szCs w:val="16"/>
                <w:color w:val="auto"/>
              </w:rPr>
            </w:pPr>
          </w:p>
        </w:tc>
        <w:tc>
          <w:tcPr>
            <w:tcW w:w="20" w:type="dxa"/>
            <w:vAlign w:val="bottom"/>
            <w:shd w:val="clear" w:color="auto" w:fill="EBECEC"/>
          </w:tcPr>
          <w:p>
            <w:pPr>
              <w:spacing w:after="0"/>
              <w:rPr>
                <w:sz w:val="16"/>
                <w:szCs w:val="16"/>
                <w:color w:val="auto"/>
              </w:rPr>
            </w:pPr>
          </w:p>
        </w:tc>
        <w:tc>
          <w:tcPr>
            <w:tcW w:w="220" w:type="dxa"/>
            <w:vAlign w:val="bottom"/>
            <w:shd w:val="clear" w:color="auto" w:fill="EBECEC"/>
          </w:tcPr>
          <w:p>
            <w:pPr>
              <w:spacing w:after="0"/>
              <w:rPr>
                <w:sz w:val="16"/>
                <w:szCs w:val="16"/>
                <w:color w:val="auto"/>
              </w:rPr>
            </w:pPr>
          </w:p>
        </w:tc>
        <w:tc>
          <w:tcPr>
            <w:tcW w:w="1400" w:type="dxa"/>
            <w:vAlign w:val="bottom"/>
            <w:gridSpan w:val="3"/>
            <w:shd w:val="clear" w:color="auto" w:fill="EBECEC"/>
          </w:tcPr>
          <w:p>
            <w:pPr>
              <w:jc w:val="right"/>
              <w:ind w:right="100"/>
              <w:spacing w:after="0"/>
              <w:rPr>
                <w:sz w:val="20"/>
                <w:szCs w:val="20"/>
                <w:color w:val="auto"/>
              </w:rPr>
            </w:pPr>
            <w:r>
              <w:rPr>
                <w:rFonts w:ascii="Arial" w:cs="Arial" w:eastAsia="Arial" w:hAnsi="Arial"/>
                <w:sz w:val="14"/>
                <w:szCs w:val="14"/>
                <w:color w:val="231F20"/>
              </w:rPr>
              <w:t>—</w:t>
            </w:r>
          </w:p>
        </w:tc>
        <w:tc>
          <w:tcPr>
            <w:tcW w:w="140" w:type="dxa"/>
            <w:vAlign w:val="bottom"/>
            <w:shd w:val="clear" w:color="auto" w:fill="EBECEC"/>
          </w:tcPr>
          <w:p>
            <w:pPr>
              <w:spacing w:after="0"/>
              <w:rPr>
                <w:sz w:val="16"/>
                <w:szCs w:val="16"/>
                <w:color w:val="auto"/>
              </w:rPr>
            </w:pPr>
          </w:p>
        </w:tc>
        <w:tc>
          <w:tcPr>
            <w:tcW w:w="20" w:type="dxa"/>
            <w:vAlign w:val="bottom"/>
            <w:shd w:val="clear" w:color="auto" w:fill="EBECEC"/>
          </w:tcPr>
          <w:p>
            <w:pPr>
              <w:spacing w:after="0"/>
              <w:rPr>
                <w:sz w:val="16"/>
                <w:szCs w:val="16"/>
                <w:color w:val="auto"/>
              </w:rPr>
            </w:pPr>
          </w:p>
        </w:tc>
        <w:tc>
          <w:tcPr>
            <w:tcW w:w="20" w:type="dxa"/>
            <w:vAlign w:val="bottom"/>
            <w:shd w:val="clear" w:color="auto" w:fill="EBECEC"/>
          </w:tcPr>
          <w:p>
            <w:pPr>
              <w:spacing w:after="0"/>
              <w:rPr>
                <w:sz w:val="16"/>
                <w:szCs w:val="16"/>
                <w:color w:val="auto"/>
              </w:rPr>
            </w:pPr>
          </w:p>
        </w:tc>
        <w:tc>
          <w:tcPr>
            <w:tcW w:w="120" w:type="dxa"/>
            <w:vAlign w:val="bottom"/>
            <w:shd w:val="clear" w:color="auto" w:fill="EBECEC"/>
          </w:tcPr>
          <w:p>
            <w:pPr>
              <w:spacing w:after="0"/>
              <w:rPr>
                <w:sz w:val="16"/>
                <w:szCs w:val="16"/>
                <w:color w:val="auto"/>
              </w:rPr>
            </w:pPr>
          </w:p>
        </w:tc>
        <w:tc>
          <w:tcPr>
            <w:tcW w:w="1500" w:type="dxa"/>
            <w:vAlign w:val="bottom"/>
            <w:gridSpan w:val="3"/>
            <w:shd w:val="clear" w:color="auto" w:fill="EBECEC"/>
          </w:tcPr>
          <w:p>
            <w:pPr>
              <w:jc w:val="right"/>
              <w:ind w:right="120"/>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BECEC"/>
          </w:tcPr>
          <w:p>
            <w:pPr>
              <w:spacing w:after="0"/>
              <w:rPr>
                <w:sz w:val="16"/>
                <w:szCs w:val="16"/>
                <w:color w:val="auto"/>
              </w:rPr>
            </w:pPr>
          </w:p>
        </w:tc>
        <w:tc>
          <w:tcPr>
            <w:tcW w:w="20" w:type="dxa"/>
            <w:vAlign w:val="bottom"/>
            <w:shd w:val="clear" w:color="auto" w:fill="EBECEC"/>
          </w:tcPr>
          <w:p>
            <w:pPr>
              <w:spacing w:after="0"/>
              <w:rPr>
                <w:sz w:val="16"/>
                <w:szCs w:val="16"/>
                <w:color w:val="auto"/>
              </w:rPr>
            </w:pPr>
          </w:p>
        </w:tc>
        <w:tc>
          <w:tcPr>
            <w:tcW w:w="20" w:type="dxa"/>
            <w:vAlign w:val="bottom"/>
            <w:shd w:val="clear" w:color="auto" w:fill="EBECEC"/>
          </w:tcPr>
          <w:p>
            <w:pPr>
              <w:spacing w:after="0"/>
              <w:rPr>
                <w:sz w:val="16"/>
                <w:szCs w:val="16"/>
                <w:color w:val="auto"/>
              </w:rPr>
            </w:pPr>
          </w:p>
        </w:tc>
        <w:tc>
          <w:tcPr>
            <w:tcW w:w="160" w:type="dxa"/>
            <w:vAlign w:val="bottom"/>
            <w:shd w:val="clear" w:color="auto" w:fill="EBECEC"/>
          </w:tcPr>
          <w:p>
            <w:pPr>
              <w:spacing w:after="0"/>
              <w:rPr>
                <w:sz w:val="16"/>
                <w:szCs w:val="16"/>
                <w:color w:val="auto"/>
              </w:rPr>
            </w:pPr>
          </w:p>
        </w:tc>
        <w:tc>
          <w:tcPr>
            <w:tcW w:w="1420" w:type="dxa"/>
            <w:vAlign w:val="bottom"/>
            <w:shd w:val="clear" w:color="auto" w:fill="EBECEC"/>
          </w:tcPr>
          <w:p>
            <w:pPr>
              <w:jc w:val="right"/>
              <w:spacing w:after="0"/>
              <w:rPr>
                <w:sz w:val="20"/>
                <w:szCs w:val="20"/>
                <w:color w:val="auto"/>
              </w:rPr>
            </w:pPr>
            <w:r>
              <w:rPr>
                <w:rFonts w:ascii="Arial" w:cs="Arial" w:eastAsia="Arial" w:hAnsi="Arial"/>
                <w:sz w:val="14"/>
                <w:szCs w:val="14"/>
                <w:color w:val="231F20"/>
              </w:rPr>
              <w:t>(35,174 )</w:t>
            </w:r>
          </w:p>
        </w:tc>
        <w:tc>
          <w:tcPr>
            <w:tcW w:w="0" w:type="dxa"/>
            <w:vAlign w:val="bottom"/>
            <w:shd w:val="clear" w:color="auto" w:fill="EBECEC"/>
          </w:tcPr>
          <w:p>
            <w:pPr>
              <w:spacing w:after="0"/>
              <w:rPr>
                <w:sz w:val="16"/>
                <w:szCs w:val="16"/>
                <w:color w:val="auto"/>
              </w:rPr>
            </w:pPr>
          </w:p>
        </w:tc>
        <w:tc>
          <w:tcPr>
            <w:tcW w:w="180" w:type="dxa"/>
            <w:vAlign w:val="bottom"/>
            <w:shd w:val="clear" w:color="auto" w:fill="EBECEC"/>
          </w:tcPr>
          <w:p>
            <w:pPr>
              <w:spacing w:after="0"/>
              <w:rPr>
                <w:sz w:val="16"/>
                <w:szCs w:val="16"/>
                <w:color w:val="auto"/>
              </w:rPr>
            </w:pPr>
          </w:p>
        </w:tc>
        <w:tc>
          <w:tcPr>
            <w:tcW w:w="20" w:type="dxa"/>
            <w:vAlign w:val="bottom"/>
            <w:shd w:val="clear" w:color="auto" w:fill="EBECEC"/>
          </w:tcPr>
          <w:p>
            <w:pPr>
              <w:spacing w:after="0"/>
              <w:rPr>
                <w:sz w:val="16"/>
                <w:szCs w:val="16"/>
                <w:color w:val="auto"/>
              </w:rPr>
            </w:pPr>
          </w:p>
        </w:tc>
        <w:tc>
          <w:tcPr>
            <w:tcW w:w="20" w:type="dxa"/>
            <w:vAlign w:val="bottom"/>
            <w:shd w:val="clear" w:color="auto" w:fill="EBECEC"/>
          </w:tcPr>
          <w:p>
            <w:pPr>
              <w:spacing w:after="0"/>
              <w:rPr>
                <w:sz w:val="16"/>
                <w:szCs w:val="16"/>
                <w:color w:val="auto"/>
              </w:rPr>
            </w:pPr>
          </w:p>
        </w:tc>
        <w:tc>
          <w:tcPr>
            <w:tcW w:w="140" w:type="dxa"/>
            <w:vAlign w:val="bottom"/>
            <w:shd w:val="clear" w:color="auto" w:fill="EBECEC"/>
          </w:tcPr>
          <w:p>
            <w:pPr>
              <w:spacing w:after="0"/>
              <w:rPr>
                <w:sz w:val="16"/>
                <w:szCs w:val="16"/>
                <w:color w:val="auto"/>
              </w:rPr>
            </w:pPr>
          </w:p>
        </w:tc>
        <w:tc>
          <w:tcPr>
            <w:tcW w:w="1440" w:type="dxa"/>
            <w:vAlign w:val="bottom"/>
            <w:shd w:val="clear" w:color="auto" w:fill="EBECEC"/>
          </w:tcPr>
          <w:p>
            <w:pPr>
              <w:jc w:val="right"/>
              <w:spacing w:after="0"/>
              <w:rPr>
                <w:sz w:val="20"/>
                <w:szCs w:val="20"/>
                <w:color w:val="auto"/>
              </w:rPr>
            </w:pPr>
            <w:r>
              <w:rPr>
                <w:rFonts w:ascii="Arial" w:cs="Arial" w:eastAsia="Arial" w:hAnsi="Arial"/>
                <w:sz w:val="14"/>
                <w:szCs w:val="14"/>
                <w:color w:val="231F20"/>
              </w:rPr>
              <w:t>(35,174 )</w:t>
            </w:r>
          </w:p>
        </w:tc>
        <w:tc>
          <w:tcPr>
            <w:tcW w:w="20" w:type="dxa"/>
            <w:vAlign w:val="bottom"/>
            <w:shd w:val="clear" w:color="auto" w:fill="EBECEC"/>
          </w:tcPr>
          <w:p>
            <w:pPr>
              <w:spacing w:after="0"/>
              <w:rPr>
                <w:sz w:val="16"/>
                <w:szCs w:val="16"/>
                <w:color w:val="auto"/>
              </w:rPr>
            </w:pPr>
          </w:p>
        </w:tc>
      </w:tr>
      <w:tr>
        <w:trPr>
          <w:trHeight w:val="150"/>
        </w:trPr>
        <w:tc>
          <w:tcPr>
            <w:tcW w:w="4740" w:type="dxa"/>
            <w:vAlign w:val="bottom"/>
            <w:tcBorders>
              <w:top w:val="single" w:sz="8" w:color="EBECEC"/>
            </w:tcBorders>
            <w:gridSpan w:val="2"/>
          </w:tcPr>
          <w:p>
            <w:pPr>
              <w:spacing w:after="0" w:line="150" w:lineRule="exact"/>
              <w:rPr>
                <w:sz w:val="20"/>
                <w:szCs w:val="20"/>
                <w:color w:val="auto"/>
              </w:rPr>
            </w:pPr>
            <w:r>
              <w:rPr>
                <w:rFonts w:ascii="Arial" w:cs="Arial" w:eastAsia="Arial" w:hAnsi="Arial"/>
                <w:sz w:val="14"/>
                <w:szCs w:val="14"/>
                <w:b w:val="1"/>
                <w:bCs w:val="1"/>
                <w:color w:val="231F20"/>
              </w:rPr>
              <w:t>Balances at December 31, 2025</w:t>
            </w:r>
          </w:p>
        </w:tc>
        <w:tc>
          <w:tcPr>
            <w:tcW w:w="40" w:type="dxa"/>
            <w:vAlign w:val="bottom"/>
            <w:tcBorders>
              <w:top w:val="single" w:sz="8" w:color="231F20"/>
            </w:tcBorders>
            <w:gridSpan w:val="2"/>
          </w:tcPr>
          <w:p>
            <w:pPr>
              <w:spacing w:after="0"/>
              <w:rPr>
                <w:sz w:val="13"/>
                <w:szCs w:val="13"/>
                <w:color w:val="auto"/>
              </w:rPr>
            </w:pPr>
          </w:p>
        </w:tc>
        <w:tc>
          <w:tcPr>
            <w:tcW w:w="1200" w:type="dxa"/>
            <w:vAlign w:val="bottom"/>
            <w:tcBorders>
              <w:top w:val="single" w:sz="8" w:color="231F20"/>
            </w:tcBorders>
          </w:tcPr>
          <w:p>
            <w:pPr>
              <w:jc w:val="right"/>
              <w:ind w:right="10"/>
              <w:spacing w:after="0" w:line="150" w:lineRule="exact"/>
              <w:rPr>
                <w:sz w:val="20"/>
                <w:szCs w:val="20"/>
                <w:color w:val="auto"/>
              </w:rPr>
            </w:pPr>
            <w:r>
              <w:rPr>
                <w:rFonts w:ascii="Arial" w:cs="Arial" w:eastAsia="Arial" w:hAnsi="Arial"/>
                <w:sz w:val="14"/>
                <w:szCs w:val="14"/>
                <w:color w:val="231F20"/>
              </w:rPr>
              <w:t>27,413,171</w:t>
            </w:r>
          </w:p>
        </w:tc>
        <w:tc>
          <w:tcPr>
            <w:tcW w:w="160" w:type="dxa"/>
            <w:vAlign w:val="bottom"/>
            <w:tcBorders>
              <w:top w:val="single" w:sz="8" w:color="EBECEC"/>
            </w:tcBorders>
          </w:tcPr>
          <w:p>
            <w:pPr>
              <w:spacing w:after="0"/>
              <w:rPr>
                <w:sz w:val="13"/>
                <w:szCs w:val="13"/>
                <w:color w:val="auto"/>
              </w:rPr>
            </w:pPr>
          </w:p>
        </w:tc>
        <w:tc>
          <w:tcPr>
            <w:tcW w:w="20" w:type="dxa"/>
            <w:vAlign w:val="bottom"/>
            <w:tcBorders>
              <w:top w:val="single" w:sz="8" w:color="EBECEC"/>
            </w:tcBorders>
          </w:tcPr>
          <w:p>
            <w:pPr>
              <w:spacing w:after="0"/>
              <w:rPr>
                <w:sz w:val="13"/>
                <w:szCs w:val="13"/>
                <w:color w:val="auto"/>
              </w:rPr>
            </w:pPr>
          </w:p>
        </w:tc>
        <w:tc>
          <w:tcPr>
            <w:tcW w:w="140" w:type="dxa"/>
            <w:vAlign w:val="bottom"/>
            <w:tcBorders>
              <w:top w:val="single" w:sz="8" w:color="231F20"/>
            </w:tcBorders>
            <w:gridSpan w:val="2"/>
          </w:tcPr>
          <w:p>
            <w:pPr>
              <w:jc w:val="right"/>
              <w:ind w:right="55"/>
              <w:spacing w:after="0"/>
              <w:rPr>
                <w:sz w:val="20"/>
                <w:szCs w:val="20"/>
                <w:color w:val="auto"/>
              </w:rPr>
            </w:pPr>
            <w:r>
              <w:rPr>
                <w:rFonts w:ascii="Arial" w:cs="Arial" w:eastAsia="Arial" w:hAnsi="Arial"/>
                <w:sz w:val="10"/>
                <w:szCs w:val="10"/>
                <w:color w:val="231F20"/>
                <w:w w:val="71"/>
              </w:rPr>
              <w:t>$</w:t>
            </w:r>
          </w:p>
        </w:tc>
        <w:tc>
          <w:tcPr>
            <w:tcW w:w="940" w:type="dxa"/>
            <w:vAlign w:val="bottom"/>
            <w:tcBorders>
              <w:top w:val="single" w:sz="8" w:color="231F20"/>
            </w:tcBorders>
          </w:tcPr>
          <w:p>
            <w:pPr>
              <w:ind w:left="720"/>
              <w:spacing w:after="0" w:line="150" w:lineRule="exact"/>
              <w:rPr>
                <w:sz w:val="20"/>
                <w:szCs w:val="20"/>
                <w:color w:val="auto"/>
              </w:rPr>
            </w:pPr>
            <w:r>
              <w:rPr>
                <w:rFonts w:ascii="Arial" w:cs="Arial" w:eastAsia="Arial" w:hAnsi="Arial"/>
                <w:sz w:val="14"/>
                <w:szCs w:val="14"/>
                <w:color w:val="231F20"/>
              </w:rPr>
              <w:t>—</w:t>
            </w:r>
          </w:p>
        </w:tc>
        <w:tc>
          <w:tcPr>
            <w:tcW w:w="40" w:type="dxa"/>
            <w:vAlign w:val="bottom"/>
            <w:tcBorders>
              <w:top w:val="single" w:sz="8" w:color="EBECEC"/>
            </w:tcBorders>
            <w:gridSpan w:val="2"/>
          </w:tcPr>
          <w:p>
            <w:pPr>
              <w:spacing w:after="0"/>
              <w:rPr>
                <w:sz w:val="13"/>
                <w:szCs w:val="13"/>
                <w:color w:val="auto"/>
              </w:rPr>
            </w:pPr>
          </w:p>
        </w:tc>
        <w:tc>
          <w:tcPr>
            <w:tcW w:w="120" w:type="dxa"/>
            <w:vAlign w:val="bottom"/>
            <w:tcBorders>
              <w:top w:val="single" w:sz="8" w:color="EBECEC"/>
            </w:tcBorders>
          </w:tcPr>
          <w:p>
            <w:pPr>
              <w:spacing w:after="0"/>
              <w:rPr>
                <w:sz w:val="13"/>
                <w:szCs w:val="13"/>
                <w:color w:val="auto"/>
              </w:rPr>
            </w:pPr>
          </w:p>
        </w:tc>
        <w:tc>
          <w:tcPr>
            <w:tcW w:w="20" w:type="dxa"/>
            <w:vAlign w:val="bottom"/>
            <w:tcBorders>
              <w:top w:val="single" w:sz="8" w:color="EBECEC"/>
            </w:tcBorders>
          </w:tcPr>
          <w:p>
            <w:pPr>
              <w:spacing w:after="0"/>
              <w:rPr>
                <w:sz w:val="13"/>
                <w:szCs w:val="13"/>
                <w:color w:val="auto"/>
              </w:rPr>
            </w:pPr>
          </w:p>
        </w:tc>
        <w:tc>
          <w:tcPr>
            <w:tcW w:w="240" w:type="dxa"/>
            <w:vAlign w:val="bottom"/>
            <w:tcBorders>
              <w:top w:val="single" w:sz="8" w:color="231F20"/>
            </w:tcBorders>
            <w:gridSpan w:val="2"/>
          </w:tcPr>
          <w:p>
            <w:pPr>
              <w:jc w:val="right"/>
              <w:ind w:right="155"/>
              <w:spacing w:after="0"/>
              <w:rPr>
                <w:sz w:val="20"/>
                <w:szCs w:val="20"/>
                <w:color w:val="auto"/>
              </w:rPr>
            </w:pPr>
            <w:r>
              <w:rPr>
                <w:rFonts w:ascii="Arial" w:cs="Arial" w:eastAsia="Arial" w:hAnsi="Arial"/>
                <w:sz w:val="10"/>
                <w:szCs w:val="10"/>
                <w:color w:val="231F20"/>
                <w:w w:val="71"/>
              </w:rPr>
              <w:t>$</w:t>
            </w:r>
          </w:p>
        </w:tc>
        <w:tc>
          <w:tcPr>
            <w:tcW w:w="1360" w:type="dxa"/>
            <w:vAlign w:val="bottom"/>
            <w:tcBorders>
              <w:top w:val="single" w:sz="8" w:color="231F20"/>
            </w:tcBorders>
          </w:tcPr>
          <w:p>
            <w:pPr>
              <w:jc w:val="right"/>
              <w:spacing w:after="0" w:line="150" w:lineRule="exact"/>
              <w:rPr>
                <w:sz w:val="20"/>
                <w:szCs w:val="20"/>
                <w:color w:val="auto"/>
              </w:rPr>
            </w:pPr>
            <w:r>
              <w:rPr>
                <w:rFonts w:ascii="Arial" w:cs="Arial" w:eastAsia="Arial" w:hAnsi="Arial"/>
                <w:sz w:val="14"/>
                <w:szCs w:val="14"/>
                <w:color w:val="231F20"/>
              </w:rPr>
              <w:t>293,953</w:t>
            </w:r>
          </w:p>
        </w:tc>
        <w:tc>
          <w:tcPr>
            <w:tcW w:w="20" w:type="dxa"/>
            <w:vAlign w:val="bottom"/>
            <w:tcBorders>
              <w:top w:val="single" w:sz="8" w:color="EBECEC"/>
            </w:tcBorders>
          </w:tcPr>
          <w:p>
            <w:pPr>
              <w:spacing w:after="0"/>
              <w:rPr>
                <w:sz w:val="13"/>
                <w:szCs w:val="13"/>
                <w:color w:val="auto"/>
              </w:rPr>
            </w:pPr>
          </w:p>
        </w:tc>
        <w:tc>
          <w:tcPr>
            <w:tcW w:w="20" w:type="dxa"/>
            <w:vAlign w:val="bottom"/>
            <w:tcBorders>
              <w:top w:val="single" w:sz="8" w:color="EBECEC"/>
            </w:tcBorders>
          </w:tcPr>
          <w:p>
            <w:pPr>
              <w:spacing w:after="0"/>
              <w:rPr>
                <w:sz w:val="13"/>
                <w:szCs w:val="13"/>
                <w:color w:val="auto"/>
              </w:rPr>
            </w:pPr>
          </w:p>
        </w:tc>
        <w:tc>
          <w:tcPr>
            <w:tcW w:w="140" w:type="dxa"/>
            <w:vAlign w:val="bottom"/>
            <w:tcBorders>
              <w:top w:val="single" w:sz="8" w:color="EBECEC"/>
            </w:tcBorders>
          </w:tcPr>
          <w:p>
            <w:pPr>
              <w:spacing w:after="0"/>
              <w:rPr>
                <w:sz w:val="13"/>
                <w:szCs w:val="13"/>
                <w:color w:val="auto"/>
              </w:rPr>
            </w:pPr>
          </w:p>
        </w:tc>
        <w:tc>
          <w:tcPr>
            <w:tcW w:w="20" w:type="dxa"/>
            <w:vAlign w:val="bottom"/>
            <w:tcBorders>
              <w:top w:val="single" w:sz="8" w:color="EBECEC"/>
            </w:tcBorders>
          </w:tcPr>
          <w:p>
            <w:pPr>
              <w:spacing w:after="0"/>
              <w:rPr>
                <w:sz w:val="13"/>
                <w:szCs w:val="13"/>
                <w:color w:val="auto"/>
              </w:rPr>
            </w:pPr>
          </w:p>
        </w:tc>
        <w:tc>
          <w:tcPr>
            <w:tcW w:w="140" w:type="dxa"/>
            <w:vAlign w:val="bottom"/>
            <w:tcBorders>
              <w:top w:val="single" w:sz="8" w:color="231F20"/>
            </w:tcBorders>
            <w:gridSpan w:val="2"/>
          </w:tcPr>
          <w:p>
            <w:pPr>
              <w:jc w:val="right"/>
              <w:ind w:right="95"/>
              <w:spacing w:after="0"/>
              <w:rPr>
                <w:sz w:val="20"/>
                <w:szCs w:val="20"/>
                <w:color w:val="auto"/>
              </w:rPr>
            </w:pPr>
            <w:r>
              <w:rPr>
                <w:rFonts w:ascii="Arial" w:cs="Arial" w:eastAsia="Arial" w:hAnsi="Arial"/>
                <w:sz w:val="5"/>
                <w:szCs w:val="5"/>
                <w:color w:val="231F20"/>
                <w:w w:val="70"/>
              </w:rPr>
              <w:t>$</w:t>
            </w:r>
          </w:p>
        </w:tc>
        <w:tc>
          <w:tcPr>
            <w:tcW w:w="1460" w:type="dxa"/>
            <w:vAlign w:val="bottom"/>
            <w:tcBorders>
              <w:top w:val="single" w:sz="8" w:color="231F20"/>
            </w:tcBorders>
          </w:tcPr>
          <w:p>
            <w:pPr>
              <w:jc w:val="right"/>
              <w:ind w:right="10"/>
              <w:spacing w:after="0" w:line="150" w:lineRule="exact"/>
              <w:rPr>
                <w:sz w:val="20"/>
                <w:szCs w:val="20"/>
                <w:color w:val="auto"/>
              </w:rPr>
            </w:pPr>
            <w:r>
              <w:rPr>
                <w:rFonts w:ascii="Arial" w:cs="Arial" w:eastAsia="Arial" w:hAnsi="Arial"/>
                <w:sz w:val="14"/>
                <w:szCs w:val="14"/>
                <w:color w:val="231F20"/>
              </w:rPr>
              <w:t>57</w:t>
            </w:r>
          </w:p>
        </w:tc>
        <w:tc>
          <w:tcPr>
            <w:tcW w:w="20" w:type="dxa"/>
            <w:vAlign w:val="bottom"/>
            <w:tcBorders>
              <w:top w:val="single" w:sz="8" w:color="EBECEC"/>
            </w:tcBorders>
          </w:tcPr>
          <w:p>
            <w:pPr>
              <w:spacing w:after="0"/>
              <w:rPr>
                <w:sz w:val="13"/>
                <w:szCs w:val="13"/>
                <w:color w:val="auto"/>
              </w:rPr>
            </w:pPr>
          </w:p>
        </w:tc>
        <w:tc>
          <w:tcPr>
            <w:tcW w:w="20" w:type="dxa"/>
            <w:vAlign w:val="bottom"/>
            <w:tcBorders>
              <w:top w:val="single" w:sz="8" w:color="EBECEC"/>
            </w:tcBorders>
          </w:tcPr>
          <w:p>
            <w:pPr>
              <w:spacing w:after="0"/>
              <w:rPr>
                <w:sz w:val="13"/>
                <w:szCs w:val="13"/>
                <w:color w:val="auto"/>
              </w:rPr>
            </w:pPr>
          </w:p>
        </w:tc>
        <w:tc>
          <w:tcPr>
            <w:tcW w:w="120" w:type="dxa"/>
            <w:vAlign w:val="bottom"/>
            <w:tcBorders>
              <w:top w:val="single" w:sz="8" w:color="EBECEC"/>
            </w:tcBorders>
          </w:tcPr>
          <w:p>
            <w:pPr>
              <w:spacing w:after="0"/>
              <w:rPr>
                <w:sz w:val="13"/>
                <w:szCs w:val="13"/>
                <w:color w:val="auto"/>
              </w:rPr>
            </w:pPr>
          </w:p>
        </w:tc>
        <w:tc>
          <w:tcPr>
            <w:tcW w:w="20" w:type="dxa"/>
            <w:vAlign w:val="bottom"/>
            <w:tcBorders>
              <w:top w:val="single" w:sz="8" w:color="EBECEC"/>
            </w:tcBorders>
          </w:tcPr>
          <w:p>
            <w:pPr>
              <w:spacing w:after="0"/>
              <w:rPr>
                <w:sz w:val="13"/>
                <w:szCs w:val="13"/>
                <w:color w:val="auto"/>
              </w:rPr>
            </w:pPr>
          </w:p>
        </w:tc>
        <w:tc>
          <w:tcPr>
            <w:tcW w:w="180" w:type="dxa"/>
            <w:vAlign w:val="bottom"/>
            <w:tcBorders>
              <w:top w:val="single" w:sz="8" w:color="231F20"/>
            </w:tcBorders>
            <w:gridSpan w:val="2"/>
          </w:tcPr>
          <w:p>
            <w:pPr>
              <w:jc w:val="right"/>
              <w:ind w:right="95"/>
              <w:spacing w:after="0"/>
              <w:rPr>
                <w:sz w:val="20"/>
                <w:szCs w:val="20"/>
                <w:color w:val="auto"/>
              </w:rPr>
            </w:pPr>
            <w:r>
              <w:rPr>
                <w:rFonts w:ascii="Arial" w:cs="Arial" w:eastAsia="Arial" w:hAnsi="Arial"/>
                <w:sz w:val="10"/>
                <w:szCs w:val="10"/>
                <w:color w:val="231F20"/>
                <w:w w:val="71"/>
              </w:rPr>
              <w:t>$</w:t>
            </w:r>
          </w:p>
        </w:tc>
        <w:tc>
          <w:tcPr>
            <w:tcW w:w="1420" w:type="dxa"/>
            <w:vAlign w:val="bottom"/>
            <w:tcBorders>
              <w:top w:val="single" w:sz="8" w:color="231F20"/>
            </w:tcBorders>
          </w:tcPr>
          <w:p>
            <w:pPr>
              <w:jc w:val="right"/>
              <w:spacing w:after="0" w:line="150" w:lineRule="exact"/>
              <w:rPr>
                <w:sz w:val="20"/>
                <w:szCs w:val="20"/>
                <w:color w:val="auto"/>
              </w:rPr>
            </w:pPr>
            <w:r>
              <w:rPr>
                <w:rFonts w:ascii="Arial" w:cs="Arial" w:eastAsia="Arial" w:hAnsi="Arial"/>
                <w:sz w:val="14"/>
                <w:szCs w:val="14"/>
                <w:color w:val="231F20"/>
              </w:rPr>
              <w:t>(240,950 )</w:t>
            </w:r>
          </w:p>
        </w:tc>
        <w:tc>
          <w:tcPr>
            <w:tcW w:w="0" w:type="dxa"/>
            <w:vAlign w:val="bottom"/>
            <w:tcBorders>
              <w:top w:val="single" w:sz="8" w:color="EBECEC"/>
            </w:tcBorders>
          </w:tcPr>
          <w:p>
            <w:pPr>
              <w:spacing w:after="0"/>
              <w:rPr>
                <w:sz w:val="13"/>
                <w:szCs w:val="13"/>
                <w:color w:val="auto"/>
              </w:rPr>
            </w:pPr>
          </w:p>
        </w:tc>
        <w:tc>
          <w:tcPr>
            <w:tcW w:w="180" w:type="dxa"/>
            <w:vAlign w:val="bottom"/>
            <w:tcBorders>
              <w:top w:val="single" w:sz="8" w:color="EBECEC"/>
            </w:tcBorders>
          </w:tcPr>
          <w:p>
            <w:pPr>
              <w:spacing w:after="0"/>
              <w:rPr>
                <w:sz w:val="13"/>
                <w:szCs w:val="13"/>
                <w:color w:val="auto"/>
              </w:rPr>
            </w:pPr>
          </w:p>
        </w:tc>
        <w:tc>
          <w:tcPr>
            <w:tcW w:w="20" w:type="dxa"/>
            <w:vAlign w:val="bottom"/>
            <w:tcBorders>
              <w:top w:val="single" w:sz="8" w:color="EBECEC"/>
            </w:tcBorders>
          </w:tcPr>
          <w:p>
            <w:pPr>
              <w:spacing w:after="0"/>
              <w:rPr>
                <w:sz w:val="13"/>
                <w:szCs w:val="13"/>
                <w:color w:val="auto"/>
              </w:rPr>
            </w:pPr>
          </w:p>
        </w:tc>
        <w:tc>
          <w:tcPr>
            <w:tcW w:w="160" w:type="dxa"/>
            <w:vAlign w:val="bottom"/>
            <w:tcBorders>
              <w:top w:val="single" w:sz="8" w:color="231F20"/>
            </w:tcBorders>
            <w:gridSpan w:val="2"/>
          </w:tcPr>
          <w:p>
            <w:pPr>
              <w:jc w:val="right"/>
              <w:ind w:right="75"/>
              <w:spacing w:after="0"/>
              <w:rPr>
                <w:sz w:val="20"/>
                <w:szCs w:val="20"/>
                <w:color w:val="auto"/>
              </w:rPr>
            </w:pPr>
            <w:r>
              <w:rPr>
                <w:rFonts w:ascii="Arial" w:cs="Arial" w:eastAsia="Arial" w:hAnsi="Arial"/>
                <w:sz w:val="10"/>
                <w:szCs w:val="10"/>
                <w:color w:val="231F20"/>
                <w:w w:val="71"/>
              </w:rPr>
              <w:t>$</w:t>
            </w:r>
          </w:p>
        </w:tc>
        <w:tc>
          <w:tcPr>
            <w:tcW w:w="1440" w:type="dxa"/>
            <w:vAlign w:val="bottom"/>
            <w:tcBorders>
              <w:top w:val="single" w:sz="8" w:color="231F20"/>
            </w:tcBorders>
          </w:tcPr>
          <w:p>
            <w:pPr>
              <w:jc w:val="right"/>
              <w:ind w:right="10"/>
              <w:spacing w:after="0" w:line="150" w:lineRule="exact"/>
              <w:rPr>
                <w:sz w:val="20"/>
                <w:szCs w:val="20"/>
                <w:color w:val="auto"/>
              </w:rPr>
            </w:pPr>
            <w:r>
              <w:rPr>
                <w:rFonts w:ascii="Arial" w:cs="Arial" w:eastAsia="Arial" w:hAnsi="Arial"/>
                <w:sz w:val="14"/>
                <w:szCs w:val="14"/>
                <w:color w:val="231F20"/>
              </w:rPr>
              <w:t>53,060</w:t>
            </w:r>
          </w:p>
        </w:tc>
        <w:tc>
          <w:tcPr>
            <w:tcW w:w="20" w:type="dxa"/>
            <w:vAlign w:val="bottom"/>
            <w:tcBorders>
              <w:top w:val="single" w:sz="8" w:color="EBECEC"/>
            </w:tcBorders>
          </w:tcPr>
          <w:p>
            <w:pPr>
              <w:spacing w:after="0"/>
              <w:rPr>
                <w:sz w:val="13"/>
                <w:szCs w:val="13"/>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4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4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-2192020</wp:posOffset>
            </wp:positionV>
            <wp:extent cx="163131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extLst>
                    </a:blip>
                    <a:srcRect/>
                    <a:stretch>
                      <a:fillRect/>
                    </a:stretch>
                  </pic:blipFill>
                  <pic:spPr bwMode="auto">
                    <a:xfrm>
                      <a:off x="0" y="0"/>
                      <a:ext cx="1631315" cy="3810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The accompanying notes are an integral part of these financial statements.</w:t>
      </w:r>
    </w:p>
    <w:p>
      <w:pPr>
        <w:sectPr>
          <w:pgSz w:w="15480" w:h="11880" w:orient="landscape"/>
          <w:cols w:equalWidth="0" w:num="1">
            <w:col w:w="14400"/>
          </w:cols>
          <w:pgMar w:left="540" w:top="942" w:right="54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F-5</w:t>
      </w:r>
    </w:p>
    <w:p>
      <w:pPr>
        <w:sectPr>
          <w:pgSz w:w="15480" w:h="11880" w:orient="landscape"/>
          <w:cols w:equalWidth="0" w:num="1">
            <w:col w:w="14400"/>
          </w:cols>
          <w:pgMar w:left="540" w:top="942" w:right="540" w:bottom="27"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STATEMENTS OF CASH FLOWS</w:t>
      </w:r>
    </w:p>
    <w:p>
      <w:pPr>
        <w:jc w:val="center"/>
        <w:spacing w:after="0"/>
        <w:rPr>
          <w:sz w:val="20"/>
          <w:szCs w:val="20"/>
          <w:color w:val="auto"/>
        </w:rPr>
      </w:pPr>
      <w:r>
        <w:rPr>
          <w:rFonts w:ascii="Arial" w:cs="Arial" w:eastAsia="Arial" w:hAnsi="Arial"/>
          <w:sz w:val="20"/>
          <w:szCs w:val="20"/>
          <w:b w:val="1"/>
          <w:bCs w:val="1"/>
          <w:i w:val="1"/>
          <w:iCs w:val="1"/>
          <w:color w:val="231F20"/>
        </w:rPr>
        <w:t>(in thousands)</w:t>
      </w:r>
    </w:p>
    <w:p>
      <w:pPr>
        <w:spacing w:after="0" w:line="219" w:lineRule="exact"/>
        <w:rPr>
          <w:sz w:val="20"/>
          <w:szCs w:val="20"/>
          <w:color w:val="auto"/>
        </w:rPr>
      </w:pPr>
    </w:p>
    <w:p>
      <w:pPr>
        <w:jc w:val="center"/>
        <w:ind w:left="7020"/>
        <w:spacing w:after="0"/>
        <w:rPr>
          <w:sz w:val="20"/>
          <w:szCs w:val="20"/>
          <w:color w:val="auto"/>
        </w:rPr>
      </w:pPr>
      <w:r>
        <w:rPr>
          <w:rFonts w:ascii="Arial" w:cs="Arial" w:eastAsia="Arial" w:hAnsi="Arial"/>
          <w:sz w:val="16"/>
          <w:szCs w:val="16"/>
          <w:b w:val="1"/>
          <w:bCs w:val="1"/>
          <w:color w:val="231F20"/>
        </w:rPr>
        <w:t>Year Ended</w:t>
      </w:r>
    </w:p>
    <w:p>
      <w:pPr>
        <w:spacing w:after="0" w:line="19" w:lineRule="exact"/>
        <w:rPr>
          <w:sz w:val="20"/>
          <w:szCs w:val="20"/>
          <w:color w:val="auto"/>
        </w:rPr>
      </w:pPr>
    </w:p>
    <w:p>
      <w:pPr>
        <w:jc w:val="center"/>
        <w:ind w:left="7020"/>
        <w:spacing w:after="0"/>
        <w:rPr>
          <w:sz w:val="20"/>
          <w:szCs w:val="20"/>
          <w:color w:val="auto"/>
        </w:rPr>
      </w:pPr>
      <w:r>
        <w:rPr>
          <w:rFonts w:ascii="Arial" w:cs="Arial" w:eastAsia="Arial" w:hAnsi="Arial"/>
          <w:sz w:val="16"/>
          <w:szCs w:val="16"/>
          <w:b w:val="1"/>
          <w:bCs w:val="1"/>
          <w:color w:val="231F20"/>
        </w:rPr>
        <w:t>December 31,</w:t>
      </w:r>
    </w:p>
    <w:tbl>
      <w:tblPr>
        <w:tblLayout w:type="fixed"/>
        <w:tblInd w:w="0" w:type="dxa"/>
        <w:tblCellMar>
          <w:top w:w="0" w:type="dxa"/>
          <w:left w:w="0" w:type="dxa"/>
          <w:bottom w:w="0" w:type="dxa"/>
          <w:right w:w="0" w:type="dxa"/>
        </w:tblCellMar>
      </w:tblPr>
      <w:tr>
        <w:trPr>
          <w:trHeight w:val="193"/>
        </w:trPr>
        <w:tc>
          <w:tcPr>
            <w:tcW w:w="7120" w:type="dxa"/>
            <w:vAlign w:val="bottom"/>
            <w:tcBorders>
              <w:bottom w:val="single" w:sz="8" w:color="EBECEC"/>
            </w:tcBorders>
          </w:tcPr>
          <w:p>
            <w:pPr>
              <w:spacing w:after="0"/>
              <w:rPr>
                <w:sz w:val="16"/>
                <w:szCs w:val="16"/>
                <w:color w:val="auto"/>
              </w:rPr>
            </w:pPr>
          </w:p>
        </w:tc>
        <w:tc>
          <w:tcPr>
            <w:tcW w:w="20" w:type="dxa"/>
            <w:vAlign w:val="bottom"/>
            <w:tcBorders>
              <w:bottom w:val="single" w:sz="8" w:color="EBECEC"/>
            </w:tcBorders>
          </w:tcPr>
          <w:p>
            <w:pPr>
              <w:spacing w:after="0"/>
              <w:rPr>
                <w:sz w:val="16"/>
                <w:szCs w:val="16"/>
                <w:color w:val="auto"/>
              </w:rPr>
            </w:pPr>
          </w:p>
        </w:tc>
        <w:tc>
          <w:tcPr>
            <w:tcW w:w="340" w:type="dxa"/>
            <w:vAlign w:val="bottom"/>
            <w:tcBorders>
              <w:top w:val="single" w:sz="8" w:color="231F20"/>
              <w:bottom w:val="single" w:sz="8" w:color="231F20"/>
            </w:tcBorders>
          </w:tcPr>
          <w:p>
            <w:pPr>
              <w:spacing w:after="0"/>
              <w:rPr>
                <w:sz w:val="16"/>
                <w:szCs w:val="16"/>
                <w:color w:val="auto"/>
              </w:rPr>
            </w:pPr>
          </w:p>
        </w:tc>
        <w:tc>
          <w:tcPr>
            <w:tcW w:w="1380" w:type="dxa"/>
            <w:vAlign w:val="bottom"/>
            <w:tcBorders>
              <w:top w:val="single" w:sz="8" w:color="231F20"/>
              <w:bottom w:val="single" w:sz="8" w:color="231F20"/>
            </w:tcBorders>
          </w:tcPr>
          <w:p>
            <w:pPr>
              <w:jc w:val="right"/>
              <w:ind w:right="661"/>
              <w:spacing w:after="0"/>
              <w:rPr>
                <w:sz w:val="20"/>
                <w:szCs w:val="20"/>
                <w:color w:val="auto"/>
              </w:rPr>
            </w:pPr>
            <w:r>
              <w:rPr>
                <w:rFonts w:ascii="Arial" w:cs="Arial" w:eastAsia="Arial" w:hAnsi="Arial"/>
                <w:sz w:val="16"/>
                <w:szCs w:val="16"/>
                <w:b w:val="1"/>
                <w:bCs w:val="1"/>
                <w:color w:val="231F20"/>
              </w:rPr>
              <w:t>2025</w:t>
            </w:r>
          </w:p>
        </w:tc>
        <w:tc>
          <w:tcPr>
            <w:tcW w:w="200" w:type="dxa"/>
            <w:vAlign w:val="bottom"/>
            <w:tcBorders>
              <w:top w:val="single" w:sz="8" w:color="231F20"/>
              <w:bottom w:val="single" w:sz="8" w:color="EBECEC"/>
            </w:tcBorders>
          </w:tcPr>
          <w:p>
            <w:pPr>
              <w:spacing w:after="0"/>
              <w:rPr>
                <w:sz w:val="16"/>
                <w:szCs w:val="16"/>
                <w:color w:val="auto"/>
              </w:rPr>
            </w:pPr>
          </w:p>
        </w:tc>
        <w:tc>
          <w:tcPr>
            <w:tcW w:w="380" w:type="dxa"/>
            <w:vAlign w:val="bottom"/>
            <w:tcBorders>
              <w:top w:val="single" w:sz="8" w:color="231F20"/>
              <w:bottom w:val="single" w:sz="8" w:color="231F20"/>
            </w:tcBorders>
          </w:tcPr>
          <w:p>
            <w:pPr>
              <w:spacing w:after="0"/>
              <w:rPr>
                <w:sz w:val="16"/>
                <w:szCs w:val="16"/>
                <w:color w:val="auto"/>
              </w:rPr>
            </w:pPr>
          </w:p>
        </w:tc>
        <w:tc>
          <w:tcPr>
            <w:tcW w:w="1360" w:type="dxa"/>
            <w:vAlign w:val="bottom"/>
            <w:tcBorders>
              <w:top w:val="single" w:sz="8" w:color="231F20"/>
              <w:bottom w:val="single" w:sz="8" w:color="231F20"/>
            </w:tcBorders>
          </w:tcPr>
          <w:p>
            <w:pPr>
              <w:jc w:val="right"/>
              <w:ind w:right="641"/>
              <w:spacing w:after="0"/>
              <w:rPr>
                <w:sz w:val="20"/>
                <w:szCs w:val="20"/>
                <w:color w:val="auto"/>
              </w:rPr>
            </w:pPr>
            <w:r>
              <w:rPr>
                <w:rFonts w:ascii="Arial" w:cs="Arial" w:eastAsia="Arial" w:hAnsi="Arial"/>
                <w:sz w:val="16"/>
                <w:szCs w:val="16"/>
                <w:b w:val="1"/>
                <w:bCs w:val="1"/>
                <w:color w:val="231F20"/>
              </w:rPr>
              <w:t>2024</w:t>
            </w:r>
          </w:p>
        </w:tc>
      </w:tr>
      <w:tr>
        <w:trPr>
          <w:trHeight w:val="239"/>
        </w:trPr>
        <w:tc>
          <w:tcPr>
            <w:tcW w:w="7120" w:type="dxa"/>
            <w:vAlign w:val="bottom"/>
            <w:shd w:val="clear" w:color="auto" w:fill="EBECEC"/>
          </w:tcPr>
          <w:p>
            <w:pPr>
              <w:spacing w:after="0"/>
              <w:rPr>
                <w:sz w:val="20"/>
                <w:szCs w:val="20"/>
                <w:color w:val="auto"/>
              </w:rPr>
            </w:pPr>
            <w:r>
              <w:rPr>
                <w:rFonts w:ascii="Arial" w:cs="Arial" w:eastAsia="Arial" w:hAnsi="Arial"/>
                <w:sz w:val="20"/>
                <w:szCs w:val="20"/>
                <w:b w:val="1"/>
                <w:bCs w:val="1"/>
                <w:color w:val="231F20"/>
              </w:rPr>
              <w:t>Cash flows used in operating activities</w:t>
            </w:r>
          </w:p>
        </w:tc>
        <w:tc>
          <w:tcPr>
            <w:tcW w:w="2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38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380" w:type="dxa"/>
            <w:vAlign w:val="bottom"/>
            <w:shd w:val="clear" w:color="auto" w:fill="EBECEC"/>
          </w:tcPr>
          <w:p>
            <w:pPr>
              <w:spacing w:after="0"/>
              <w:rPr>
                <w:sz w:val="20"/>
                <w:szCs w:val="20"/>
                <w:color w:val="auto"/>
              </w:rPr>
            </w:pPr>
          </w:p>
        </w:tc>
        <w:tc>
          <w:tcPr>
            <w:tcW w:w="1360" w:type="dxa"/>
            <w:vAlign w:val="bottom"/>
            <w:shd w:val="clear" w:color="auto" w:fill="EBECEC"/>
          </w:tcPr>
          <w:p>
            <w:pPr>
              <w:spacing w:after="0"/>
              <w:rPr>
                <w:sz w:val="20"/>
                <w:szCs w:val="20"/>
                <w:color w:val="auto"/>
              </w:rPr>
            </w:pPr>
          </w:p>
        </w:tc>
      </w:tr>
      <w:tr>
        <w:trPr>
          <w:trHeight w:val="244"/>
        </w:trPr>
        <w:tc>
          <w:tcPr>
            <w:tcW w:w="7120" w:type="dxa"/>
            <w:vAlign w:val="bottom"/>
          </w:tcPr>
          <w:p>
            <w:pPr>
              <w:spacing w:after="0"/>
              <w:rPr>
                <w:sz w:val="20"/>
                <w:szCs w:val="20"/>
                <w:color w:val="auto"/>
              </w:rPr>
            </w:pPr>
            <w:r>
              <w:rPr>
                <w:rFonts w:ascii="Arial" w:cs="Arial" w:eastAsia="Arial" w:hAnsi="Arial"/>
                <w:sz w:val="20"/>
                <w:szCs w:val="20"/>
                <w:color w:val="231F20"/>
              </w:rPr>
              <w:t>Net loss</w:t>
            </w:r>
          </w:p>
        </w:tc>
        <w:tc>
          <w:tcPr>
            <w:tcW w:w="2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231F20"/>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231F20"/>
              </w:rPr>
              <w:t>(35,174)</w:t>
            </w:r>
          </w:p>
        </w:tc>
        <w:tc>
          <w:tcPr>
            <w:tcW w:w="200" w:type="dxa"/>
            <w:vAlign w:val="bottom"/>
          </w:tcPr>
          <w:p>
            <w:pPr>
              <w:spacing w:after="0"/>
              <w:rPr>
                <w:sz w:val="21"/>
                <w:szCs w:val="21"/>
                <w:color w:val="auto"/>
              </w:rPr>
            </w:pPr>
          </w:p>
        </w:tc>
        <w:tc>
          <w:tcPr>
            <w:tcW w:w="380" w:type="dxa"/>
            <w:vAlign w:val="bottom"/>
          </w:tcPr>
          <w:p>
            <w:pPr>
              <w:jc w:val="right"/>
              <w:ind w:right="160"/>
              <w:spacing w:after="0"/>
              <w:rPr>
                <w:sz w:val="20"/>
                <w:szCs w:val="20"/>
                <w:color w:val="auto"/>
              </w:rPr>
            </w:pPr>
            <w:r>
              <w:rPr>
                <w:rFonts w:ascii="Arial" w:cs="Arial" w:eastAsia="Arial" w:hAnsi="Arial"/>
                <w:sz w:val="20"/>
                <w:szCs w:val="20"/>
                <w:color w:val="231F20"/>
                <w:w w:val="89"/>
              </w:rPr>
              <w:t>$</w:t>
            </w:r>
          </w:p>
        </w:tc>
        <w:tc>
          <w:tcPr>
            <w:tcW w:w="1360" w:type="dxa"/>
            <w:vAlign w:val="bottom"/>
          </w:tcPr>
          <w:p>
            <w:pPr>
              <w:jc w:val="right"/>
              <w:spacing w:after="0"/>
              <w:rPr>
                <w:sz w:val="20"/>
                <w:szCs w:val="20"/>
                <w:color w:val="auto"/>
              </w:rPr>
            </w:pPr>
            <w:r>
              <w:rPr>
                <w:rFonts w:ascii="Arial" w:cs="Arial" w:eastAsia="Arial" w:hAnsi="Arial"/>
                <w:sz w:val="20"/>
                <w:szCs w:val="20"/>
                <w:color w:val="231F20"/>
              </w:rPr>
              <w:t>(51,321)</w:t>
            </w:r>
          </w:p>
        </w:tc>
      </w:tr>
      <w:tr>
        <w:trPr>
          <w:trHeight w:val="244"/>
        </w:trPr>
        <w:tc>
          <w:tcPr>
            <w:tcW w:w="712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Adjustments to reconcile net loss to net cash used in operating activities:</w:t>
            </w:r>
          </w:p>
        </w:tc>
        <w:tc>
          <w:tcPr>
            <w:tcW w:w="2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38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360" w:type="dxa"/>
            <w:vAlign w:val="bottom"/>
            <w:shd w:val="clear" w:color="auto" w:fill="EBECEC"/>
          </w:tcPr>
          <w:p>
            <w:pPr>
              <w:spacing w:after="0"/>
              <w:rPr>
                <w:sz w:val="21"/>
                <w:szCs w:val="21"/>
                <w:color w:val="auto"/>
              </w:rPr>
            </w:pPr>
          </w:p>
        </w:tc>
      </w:tr>
      <w:tr>
        <w:trPr>
          <w:trHeight w:val="244"/>
        </w:trPr>
        <w:tc>
          <w:tcPr>
            <w:tcW w:w="7120" w:type="dxa"/>
            <w:vAlign w:val="bottom"/>
          </w:tcPr>
          <w:p>
            <w:pPr>
              <w:ind w:left="560"/>
              <w:spacing w:after="0"/>
              <w:rPr>
                <w:sz w:val="20"/>
                <w:szCs w:val="20"/>
                <w:color w:val="auto"/>
              </w:rPr>
            </w:pPr>
            <w:r>
              <w:rPr>
                <w:rFonts w:ascii="Arial" w:cs="Arial" w:eastAsia="Arial" w:hAnsi="Arial"/>
                <w:sz w:val="20"/>
                <w:szCs w:val="20"/>
                <w:color w:val="231F20"/>
              </w:rPr>
              <w:t>Stock-based compensation expense</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Arial" w:cs="Arial" w:eastAsia="Arial" w:hAnsi="Arial"/>
                <w:sz w:val="20"/>
                <w:szCs w:val="20"/>
                <w:color w:val="231F20"/>
              </w:rPr>
              <w:t>6,246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231F20"/>
              </w:rPr>
              <w:t>8,338</w:t>
            </w:r>
          </w:p>
        </w:tc>
      </w:tr>
      <w:tr>
        <w:trPr>
          <w:trHeight w:val="244"/>
        </w:trPr>
        <w:tc>
          <w:tcPr>
            <w:tcW w:w="7120" w:type="dxa"/>
            <w:vAlign w:val="bottom"/>
            <w:shd w:val="clear" w:color="auto" w:fill="EBECEC"/>
          </w:tcPr>
          <w:p>
            <w:pPr>
              <w:ind w:left="560"/>
              <w:spacing w:after="0"/>
              <w:rPr>
                <w:sz w:val="20"/>
                <w:szCs w:val="20"/>
                <w:color w:val="auto"/>
              </w:rPr>
            </w:pPr>
            <w:r>
              <w:rPr>
                <w:rFonts w:ascii="Arial" w:cs="Arial" w:eastAsia="Arial" w:hAnsi="Arial"/>
                <w:sz w:val="20"/>
                <w:szCs w:val="20"/>
                <w:color w:val="231F20"/>
              </w:rPr>
              <w:t>Net accretion of discount on investments</w:t>
            </w:r>
          </w:p>
        </w:tc>
        <w:tc>
          <w:tcPr>
            <w:tcW w:w="2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3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(1,070)</w:t>
            </w:r>
          </w:p>
        </w:tc>
        <w:tc>
          <w:tcPr>
            <w:tcW w:w="20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36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(3,279)</w:t>
            </w:r>
          </w:p>
        </w:tc>
      </w:tr>
      <w:tr>
        <w:trPr>
          <w:trHeight w:val="244"/>
        </w:trPr>
        <w:tc>
          <w:tcPr>
            <w:tcW w:w="7120" w:type="dxa"/>
            <w:vAlign w:val="bottom"/>
          </w:tcPr>
          <w:p>
            <w:pPr>
              <w:ind w:left="280"/>
              <w:spacing w:after="0"/>
              <w:rPr>
                <w:sz w:val="20"/>
                <w:szCs w:val="20"/>
                <w:color w:val="auto"/>
              </w:rPr>
            </w:pPr>
            <w:r>
              <w:rPr>
                <w:rFonts w:ascii="Arial" w:cs="Arial" w:eastAsia="Arial" w:hAnsi="Arial"/>
                <w:sz w:val="20"/>
                <w:szCs w:val="20"/>
                <w:color w:val="231F20"/>
              </w:rPr>
              <w:t>Changes in operating assets and liabilities: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4"/>
        </w:trPr>
        <w:tc>
          <w:tcPr>
            <w:tcW w:w="7120" w:type="dxa"/>
            <w:vAlign w:val="bottom"/>
            <w:shd w:val="clear" w:color="auto" w:fill="EBECEC"/>
          </w:tcPr>
          <w:p>
            <w:pPr>
              <w:ind w:left="840"/>
              <w:spacing w:after="0"/>
              <w:rPr>
                <w:sz w:val="20"/>
                <w:szCs w:val="20"/>
                <w:color w:val="auto"/>
              </w:rPr>
            </w:pPr>
            <w:r>
              <w:rPr>
                <w:rFonts w:ascii="Arial" w:cs="Arial" w:eastAsia="Arial" w:hAnsi="Arial"/>
                <w:sz w:val="20"/>
                <w:szCs w:val="20"/>
                <w:color w:val="231F20"/>
              </w:rPr>
              <w:t>Prepaid expenses and other assets</w:t>
            </w:r>
          </w:p>
        </w:tc>
        <w:tc>
          <w:tcPr>
            <w:tcW w:w="2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380" w:type="dxa"/>
            <w:vAlign w:val="bottom"/>
            <w:shd w:val="clear" w:color="auto" w:fill="EBECEC"/>
          </w:tcPr>
          <w:p>
            <w:pPr>
              <w:jc w:val="right"/>
              <w:ind w:right="21"/>
              <w:spacing w:after="0"/>
              <w:rPr>
                <w:sz w:val="20"/>
                <w:szCs w:val="20"/>
                <w:color w:val="auto"/>
              </w:rPr>
            </w:pPr>
            <w:r>
              <w:rPr>
                <w:rFonts w:ascii="Arial" w:cs="Arial" w:eastAsia="Arial" w:hAnsi="Arial"/>
                <w:sz w:val="20"/>
                <w:szCs w:val="20"/>
                <w:color w:val="231F20"/>
              </w:rPr>
              <w:t>1,512</w:t>
            </w:r>
          </w:p>
        </w:tc>
        <w:tc>
          <w:tcPr>
            <w:tcW w:w="20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360" w:type="dxa"/>
            <w:vAlign w:val="bottom"/>
            <w:shd w:val="clear" w:color="auto" w:fill="EBECEC"/>
          </w:tcPr>
          <w:p>
            <w:pPr>
              <w:jc w:val="right"/>
              <w:ind w:right="1"/>
              <w:spacing w:after="0"/>
              <w:rPr>
                <w:sz w:val="20"/>
                <w:szCs w:val="20"/>
                <w:color w:val="auto"/>
              </w:rPr>
            </w:pPr>
            <w:r>
              <w:rPr>
                <w:rFonts w:ascii="Arial" w:cs="Arial" w:eastAsia="Arial" w:hAnsi="Arial"/>
                <w:sz w:val="20"/>
                <w:szCs w:val="20"/>
                <w:color w:val="231F20"/>
              </w:rPr>
              <w:t>807</w:t>
            </w:r>
          </w:p>
        </w:tc>
      </w:tr>
      <w:tr>
        <w:trPr>
          <w:trHeight w:val="244"/>
        </w:trPr>
        <w:tc>
          <w:tcPr>
            <w:tcW w:w="7120" w:type="dxa"/>
            <w:vAlign w:val="bottom"/>
          </w:tcPr>
          <w:p>
            <w:pPr>
              <w:ind w:left="840"/>
              <w:spacing w:after="0"/>
              <w:rPr>
                <w:sz w:val="20"/>
                <w:szCs w:val="20"/>
                <w:color w:val="auto"/>
              </w:rPr>
            </w:pPr>
            <w:r>
              <w:rPr>
                <w:rFonts w:ascii="Arial" w:cs="Arial" w:eastAsia="Arial" w:hAnsi="Arial"/>
                <w:sz w:val="20"/>
                <w:szCs w:val="20"/>
                <w:color w:val="231F20"/>
              </w:rPr>
              <w:t>Accounts payable</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231F20"/>
              </w:rPr>
              <w:t>(296)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231F20"/>
              </w:rPr>
              <w:t>641</w:t>
            </w:r>
          </w:p>
        </w:tc>
      </w:tr>
      <w:tr>
        <w:trPr>
          <w:trHeight w:val="244"/>
        </w:trPr>
        <w:tc>
          <w:tcPr>
            <w:tcW w:w="7120" w:type="dxa"/>
            <w:vAlign w:val="bottom"/>
            <w:shd w:val="clear" w:color="auto" w:fill="EBECEC"/>
          </w:tcPr>
          <w:p>
            <w:pPr>
              <w:ind w:left="840"/>
              <w:spacing w:after="0"/>
              <w:rPr>
                <w:sz w:val="20"/>
                <w:szCs w:val="20"/>
                <w:color w:val="auto"/>
              </w:rPr>
            </w:pPr>
            <w:r>
              <w:rPr>
                <w:rFonts w:ascii="Arial" w:cs="Arial" w:eastAsia="Arial" w:hAnsi="Arial"/>
                <w:sz w:val="20"/>
                <w:szCs w:val="20"/>
                <w:color w:val="231F20"/>
              </w:rPr>
              <w:t>Accrued compensation</w:t>
            </w:r>
          </w:p>
        </w:tc>
        <w:tc>
          <w:tcPr>
            <w:tcW w:w="2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380" w:type="dxa"/>
            <w:vAlign w:val="bottom"/>
            <w:shd w:val="clear" w:color="auto" w:fill="EBECEC"/>
          </w:tcPr>
          <w:p>
            <w:pPr>
              <w:jc w:val="right"/>
              <w:ind w:right="21"/>
              <w:spacing w:after="0"/>
              <w:rPr>
                <w:sz w:val="20"/>
                <w:szCs w:val="20"/>
                <w:color w:val="auto"/>
              </w:rPr>
            </w:pPr>
            <w:r>
              <w:rPr>
                <w:rFonts w:ascii="Arial" w:cs="Arial" w:eastAsia="Arial" w:hAnsi="Arial"/>
                <w:sz w:val="20"/>
                <w:szCs w:val="20"/>
                <w:color w:val="231F20"/>
              </w:rPr>
              <w:t>742</w:t>
            </w:r>
          </w:p>
        </w:tc>
        <w:tc>
          <w:tcPr>
            <w:tcW w:w="20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36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(2,342)</w:t>
            </w:r>
          </w:p>
        </w:tc>
      </w:tr>
      <w:tr>
        <w:trPr>
          <w:trHeight w:val="244"/>
        </w:trPr>
        <w:tc>
          <w:tcPr>
            <w:tcW w:w="7120" w:type="dxa"/>
            <w:vAlign w:val="bottom"/>
          </w:tcPr>
          <w:p>
            <w:pPr>
              <w:ind w:left="840"/>
              <w:spacing w:after="0"/>
              <w:rPr>
                <w:sz w:val="20"/>
                <w:szCs w:val="20"/>
                <w:color w:val="auto"/>
              </w:rPr>
            </w:pPr>
            <w:r>
              <w:rPr>
                <w:rFonts w:ascii="Arial" w:cs="Arial" w:eastAsia="Arial" w:hAnsi="Arial"/>
                <w:sz w:val="20"/>
                <w:szCs w:val="20"/>
                <w:color w:val="231F20"/>
              </w:rPr>
              <w:t>Accrued liabilities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231F20"/>
              </w:rPr>
              <w:t>(2,402)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231F20"/>
              </w:rPr>
              <w:t>(2,227)</w:t>
            </w:r>
          </w:p>
        </w:tc>
      </w:tr>
      <w:tr>
        <w:trPr>
          <w:trHeight w:val="244"/>
        </w:trPr>
        <w:tc>
          <w:tcPr>
            <w:tcW w:w="7120" w:type="dxa"/>
            <w:vAlign w:val="bottom"/>
            <w:shd w:val="clear" w:color="auto" w:fill="EBECEC"/>
          </w:tcPr>
          <w:p>
            <w:pPr>
              <w:ind w:left="840"/>
              <w:spacing w:after="0"/>
              <w:rPr>
                <w:sz w:val="20"/>
                <w:szCs w:val="20"/>
                <w:color w:val="auto"/>
              </w:rPr>
            </w:pPr>
            <w:r>
              <w:rPr>
                <w:rFonts w:ascii="Arial" w:cs="Arial" w:eastAsia="Arial" w:hAnsi="Arial"/>
                <w:sz w:val="20"/>
                <w:szCs w:val="20"/>
                <w:color w:val="231F20"/>
              </w:rPr>
              <w:t>Other current liabilities</w:t>
            </w:r>
          </w:p>
        </w:tc>
        <w:tc>
          <w:tcPr>
            <w:tcW w:w="2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380" w:type="dxa"/>
            <w:vAlign w:val="bottom"/>
            <w:shd w:val="clear" w:color="auto" w:fill="EBECEC"/>
          </w:tcPr>
          <w:p>
            <w:pPr>
              <w:jc w:val="right"/>
              <w:ind w:right="21"/>
              <w:spacing w:after="0"/>
              <w:rPr>
                <w:sz w:val="20"/>
                <w:szCs w:val="20"/>
                <w:color w:val="auto"/>
              </w:rPr>
            </w:pPr>
            <w:r>
              <w:rPr>
                <w:rFonts w:ascii="Arial" w:cs="Arial" w:eastAsia="Arial" w:hAnsi="Arial"/>
                <w:sz w:val="20"/>
                <w:szCs w:val="20"/>
                <w:color w:val="231F20"/>
              </w:rPr>
              <w:t>438</w:t>
            </w:r>
          </w:p>
        </w:tc>
        <w:tc>
          <w:tcPr>
            <w:tcW w:w="20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360" w:type="dxa"/>
            <w:vAlign w:val="bottom"/>
            <w:shd w:val="clear" w:color="auto" w:fill="EBECEC"/>
          </w:tcPr>
          <w:p>
            <w:pPr>
              <w:jc w:val="right"/>
              <w:ind w:right="1"/>
              <w:spacing w:after="0"/>
              <w:rPr>
                <w:sz w:val="20"/>
                <w:szCs w:val="20"/>
                <w:color w:val="auto"/>
              </w:rPr>
            </w:pPr>
            <w:r>
              <w:rPr>
                <w:rFonts w:ascii="Arial" w:cs="Arial" w:eastAsia="Arial" w:hAnsi="Arial"/>
                <w:sz w:val="20"/>
                <w:szCs w:val="20"/>
                <w:color w:val="231F20"/>
              </w:rPr>
              <w:t>126</w:t>
            </w:r>
          </w:p>
        </w:tc>
      </w:tr>
      <w:tr>
        <w:trPr>
          <w:trHeight w:val="244"/>
        </w:trPr>
        <w:tc>
          <w:tcPr>
            <w:tcW w:w="7120" w:type="dxa"/>
            <w:vAlign w:val="bottom"/>
            <w:tcBorders>
              <w:bottom w:val="single" w:sz="8" w:color="EBECEC"/>
            </w:tcBorders>
          </w:tcPr>
          <w:p>
            <w:pPr>
              <w:ind w:left="840"/>
              <w:spacing w:after="0"/>
              <w:rPr>
                <w:sz w:val="20"/>
                <w:szCs w:val="20"/>
                <w:color w:val="auto"/>
              </w:rPr>
            </w:pPr>
            <w:r>
              <w:rPr>
                <w:rFonts w:ascii="Arial" w:cs="Arial" w:eastAsia="Arial" w:hAnsi="Arial"/>
                <w:sz w:val="20"/>
                <w:szCs w:val="20"/>
                <w:color w:val="231F20"/>
              </w:rPr>
              <w:t>Other non-current liabilities</w:t>
            </w:r>
          </w:p>
        </w:tc>
        <w:tc>
          <w:tcPr>
            <w:tcW w:w="20" w:type="dxa"/>
            <w:vAlign w:val="bottom"/>
            <w:tcBorders>
              <w:bottom w:val="single" w:sz="8" w:color="EBECEC"/>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380" w:type="dxa"/>
            <w:vAlign w:val="bottom"/>
            <w:tcBorders>
              <w:bottom w:val="single" w:sz="8" w:color="231F20"/>
            </w:tcBorders>
          </w:tcPr>
          <w:p>
            <w:pPr>
              <w:jc w:val="right"/>
              <w:ind w:right="21"/>
              <w:spacing w:after="0"/>
              <w:rPr>
                <w:sz w:val="20"/>
                <w:szCs w:val="20"/>
                <w:color w:val="auto"/>
              </w:rPr>
            </w:pPr>
            <w:r>
              <w:rPr>
                <w:rFonts w:ascii="Arial" w:cs="Arial" w:eastAsia="Arial" w:hAnsi="Arial"/>
                <w:sz w:val="20"/>
                <w:szCs w:val="20"/>
                <w:color w:val="231F20"/>
              </w:rPr>
              <w:t>170</w:t>
            </w:r>
          </w:p>
        </w:tc>
        <w:tc>
          <w:tcPr>
            <w:tcW w:w="200" w:type="dxa"/>
            <w:vAlign w:val="bottom"/>
            <w:tcBorders>
              <w:bottom w:val="single" w:sz="8" w:color="EBECEC"/>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w:t>
            </w:r>
          </w:p>
        </w:tc>
      </w:tr>
      <w:tr>
        <w:trPr>
          <w:trHeight w:val="259"/>
        </w:trPr>
        <w:tc>
          <w:tcPr>
            <w:tcW w:w="7120" w:type="dxa"/>
            <w:vAlign w:val="bottom"/>
            <w:tcBorders>
              <w:bottom w:val="single" w:sz="8" w:color="EBECEC"/>
            </w:tcBorders>
            <w:shd w:val="clear" w:color="auto" w:fill="EBECEC"/>
          </w:tcPr>
          <w:p>
            <w:pPr>
              <w:ind w:left="1120"/>
              <w:spacing w:after="0"/>
              <w:rPr>
                <w:sz w:val="20"/>
                <w:szCs w:val="20"/>
                <w:color w:val="auto"/>
              </w:rPr>
            </w:pPr>
            <w:r>
              <w:rPr>
                <w:rFonts w:ascii="Arial" w:cs="Arial" w:eastAsia="Arial" w:hAnsi="Arial"/>
                <w:sz w:val="20"/>
                <w:szCs w:val="20"/>
                <w:color w:val="231F20"/>
              </w:rPr>
              <w:t>Net cash used in operating activities</w:t>
            </w:r>
          </w:p>
        </w:tc>
        <w:tc>
          <w:tcPr>
            <w:tcW w:w="20" w:type="dxa"/>
            <w:vAlign w:val="bottom"/>
            <w:tcBorders>
              <w:bottom w:val="single" w:sz="8" w:color="EBECEC"/>
            </w:tcBorders>
            <w:shd w:val="clear" w:color="auto" w:fill="EBECEC"/>
          </w:tcPr>
          <w:p>
            <w:pPr>
              <w:spacing w:after="0"/>
              <w:rPr>
                <w:sz w:val="22"/>
                <w:szCs w:val="22"/>
                <w:color w:val="auto"/>
              </w:rPr>
            </w:pPr>
          </w:p>
        </w:tc>
        <w:tc>
          <w:tcPr>
            <w:tcW w:w="340" w:type="dxa"/>
            <w:vAlign w:val="bottom"/>
            <w:tcBorders>
              <w:bottom w:val="single" w:sz="8" w:color="231F20"/>
            </w:tcBorders>
            <w:shd w:val="clear" w:color="auto" w:fill="EBECEC"/>
          </w:tcPr>
          <w:p>
            <w:pPr>
              <w:spacing w:after="0"/>
              <w:rPr>
                <w:sz w:val="22"/>
                <w:szCs w:val="22"/>
                <w:color w:val="auto"/>
              </w:rPr>
            </w:pPr>
          </w:p>
        </w:tc>
        <w:tc>
          <w:tcPr>
            <w:tcW w:w="138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(29,834)</w:t>
            </w:r>
          </w:p>
        </w:tc>
        <w:tc>
          <w:tcPr>
            <w:tcW w:w="200" w:type="dxa"/>
            <w:vAlign w:val="bottom"/>
            <w:tcBorders>
              <w:bottom w:val="single" w:sz="8" w:color="EBECEC"/>
            </w:tcBorders>
            <w:shd w:val="clear" w:color="auto" w:fill="EBECEC"/>
          </w:tcPr>
          <w:p>
            <w:pPr>
              <w:spacing w:after="0"/>
              <w:rPr>
                <w:sz w:val="22"/>
                <w:szCs w:val="22"/>
                <w:color w:val="auto"/>
              </w:rPr>
            </w:pPr>
          </w:p>
        </w:tc>
        <w:tc>
          <w:tcPr>
            <w:tcW w:w="380" w:type="dxa"/>
            <w:vAlign w:val="bottom"/>
            <w:tcBorders>
              <w:bottom w:val="single" w:sz="8" w:color="231F20"/>
            </w:tcBorders>
            <w:shd w:val="clear" w:color="auto" w:fill="EBECEC"/>
          </w:tcPr>
          <w:p>
            <w:pPr>
              <w:spacing w:after="0"/>
              <w:rPr>
                <w:sz w:val="22"/>
                <w:szCs w:val="22"/>
                <w:color w:val="auto"/>
              </w:rPr>
            </w:pPr>
          </w:p>
        </w:tc>
        <w:tc>
          <w:tcPr>
            <w:tcW w:w="136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(49,257)</w:t>
            </w:r>
          </w:p>
        </w:tc>
      </w:tr>
      <w:tr>
        <w:trPr>
          <w:trHeight w:val="219"/>
        </w:trPr>
        <w:tc>
          <w:tcPr>
            <w:tcW w:w="7120" w:type="dxa"/>
            <w:vAlign w:val="bottom"/>
          </w:tcPr>
          <w:p>
            <w:pPr>
              <w:spacing w:after="0" w:line="219" w:lineRule="exact"/>
              <w:rPr>
                <w:sz w:val="20"/>
                <w:szCs w:val="20"/>
                <w:color w:val="auto"/>
              </w:rPr>
            </w:pPr>
            <w:r>
              <w:rPr>
                <w:rFonts w:ascii="Arial" w:cs="Arial" w:eastAsia="Arial" w:hAnsi="Arial"/>
                <w:sz w:val="20"/>
                <w:szCs w:val="20"/>
                <w:b w:val="1"/>
                <w:bCs w:val="1"/>
                <w:color w:val="231F20"/>
              </w:rPr>
              <w:t>Cash flows from investing activities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4"/>
        </w:trPr>
        <w:tc>
          <w:tcPr>
            <w:tcW w:w="7120" w:type="dxa"/>
            <w:vAlign w:val="bottom"/>
            <w:shd w:val="clear" w:color="auto" w:fill="EBECEC"/>
          </w:tcPr>
          <w:p>
            <w:pPr>
              <w:spacing w:after="0"/>
              <w:rPr>
                <w:sz w:val="20"/>
                <w:szCs w:val="20"/>
                <w:color w:val="auto"/>
              </w:rPr>
            </w:pPr>
            <w:r>
              <w:rPr>
                <w:rFonts w:ascii="Arial" w:cs="Arial" w:eastAsia="Arial" w:hAnsi="Arial"/>
                <w:sz w:val="20"/>
                <w:szCs w:val="20"/>
                <w:color w:val="231F20"/>
              </w:rPr>
              <w:t>Purchases of investments</w:t>
            </w:r>
          </w:p>
        </w:tc>
        <w:tc>
          <w:tcPr>
            <w:tcW w:w="2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3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(46,189)</w:t>
            </w:r>
          </w:p>
        </w:tc>
        <w:tc>
          <w:tcPr>
            <w:tcW w:w="20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36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(46,751)</w:t>
            </w:r>
          </w:p>
        </w:tc>
      </w:tr>
      <w:tr>
        <w:trPr>
          <w:trHeight w:val="244"/>
        </w:trPr>
        <w:tc>
          <w:tcPr>
            <w:tcW w:w="7120" w:type="dxa"/>
            <w:vAlign w:val="bottom"/>
            <w:tcBorders>
              <w:bottom w:val="single" w:sz="8" w:color="EBECEC"/>
            </w:tcBorders>
          </w:tcPr>
          <w:p>
            <w:pPr>
              <w:spacing w:after="0"/>
              <w:rPr>
                <w:sz w:val="20"/>
                <w:szCs w:val="20"/>
                <w:color w:val="auto"/>
              </w:rPr>
            </w:pPr>
            <w:r>
              <w:rPr>
                <w:rFonts w:ascii="Arial" w:cs="Arial" w:eastAsia="Arial" w:hAnsi="Arial"/>
                <w:sz w:val="20"/>
                <w:szCs w:val="20"/>
                <w:color w:val="231F20"/>
              </w:rPr>
              <w:t>Maturities of investments</w:t>
            </w:r>
          </w:p>
        </w:tc>
        <w:tc>
          <w:tcPr>
            <w:tcW w:w="20" w:type="dxa"/>
            <w:vAlign w:val="bottom"/>
            <w:tcBorders>
              <w:bottom w:val="single" w:sz="8" w:color="EBECEC"/>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380" w:type="dxa"/>
            <w:vAlign w:val="bottom"/>
            <w:tcBorders>
              <w:bottom w:val="single" w:sz="8" w:color="231F20"/>
            </w:tcBorders>
          </w:tcPr>
          <w:p>
            <w:pPr>
              <w:jc w:val="right"/>
              <w:ind w:right="21"/>
              <w:spacing w:after="0"/>
              <w:rPr>
                <w:sz w:val="20"/>
                <w:szCs w:val="20"/>
                <w:color w:val="auto"/>
              </w:rPr>
            </w:pPr>
            <w:r>
              <w:rPr>
                <w:rFonts w:ascii="Arial" w:cs="Arial" w:eastAsia="Arial" w:hAnsi="Arial"/>
                <w:sz w:val="20"/>
                <w:szCs w:val="20"/>
                <w:color w:val="231F20"/>
              </w:rPr>
              <w:t>74,500</w:t>
            </w:r>
          </w:p>
        </w:tc>
        <w:tc>
          <w:tcPr>
            <w:tcW w:w="200" w:type="dxa"/>
            <w:vAlign w:val="bottom"/>
            <w:tcBorders>
              <w:bottom w:val="single" w:sz="8" w:color="EBECEC"/>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101,340</w:t>
            </w:r>
          </w:p>
        </w:tc>
      </w:tr>
      <w:tr>
        <w:trPr>
          <w:trHeight w:val="259"/>
        </w:trPr>
        <w:tc>
          <w:tcPr>
            <w:tcW w:w="7120" w:type="dxa"/>
            <w:vAlign w:val="bottom"/>
            <w:tcBorders>
              <w:bottom w:val="single" w:sz="8" w:color="EBECEC"/>
            </w:tcBorders>
            <w:shd w:val="clear" w:color="auto" w:fill="EBECEC"/>
          </w:tcPr>
          <w:p>
            <w:pPr>
              <w:ind w:left="1120"/>
              <w:spacing w:after="0"/>
              <w:rPr>
                <w:sz w:val="20"/>
                <w:szCs w:val="20"/>
                <w:color w:val="auto"/>
              </w:rPr>
            </w:pPr>
            <w:r>
              <w:rPr>
                <w:rFonts w:ascii="Arial" w:cs="Arial" w:eastAsia="Arial" w:hAnsi="Arial"/>
                <w:sz w:val="20"/>
                <w:szCs w:val="20"/>
                <w:color w:val="231F20"/>
              </w:rPr>
              <w:t>Net cash provided by investing activities</w:t>
            </w:r>
          </w:p>
        </w:tc>
        <w:tc>
          <w:tcPr>
            <w:tcW w:w="20" w:type="dxa"/>
            <w:vAlign w:val="bottom"/>
            <w:tcBorders>
              <w:bottom w:val="single" w:sz="8" w:color="EBECEC"/>
            </w:tcBorders>
            <w:shd w:val="clear" w:color="auto" w:fill="EBECEC"/>
          </w:tcPr>
          <w:p>
            <w:pPr>
              <w:spacing w:after="0"/>
              <w:rPr>
                <w:sz w:val="22"/>
                <w:szCs w:val="22"/>
                <w:color w:val="auto"/>
              </w:rPr>
            </w:pPr>
          </w:p>
        </w:tc>
        <w:tc>
          <w:tcPr>
            <w:tcW w:w="340" w:type="dxa"/>
            <w:vAlign w:val="bottom"/>
            <w:tcBorders>
              <w:bottom w:val="single" w:sz="8" w:color="231F20"/>
            </w:tcBorders>
            <w:shd w:val="clear" w:color="auto" w:fill="EBECEC"/>
          </w:tcPr>
          <w:p>
            <w:pPr>
              <w:spacing w:after="0"/>
              <w:rPr>
                <w:sz w:val="22"/>
                <w:szCs w:val="22"/>
                <w:color w:val="auto"/>
              </w:rPr>
            </w:pPr>
          </w:p>
        </w:tc>
        <w:tc>
          <w:tcPr>
            <w:tcW w:w="1380" w:type="dxa"/>
            <w:vAlign w:val="bottom"/>
            <w:tcBorders>
              <w:bottom w:val="single" w:sz="8" w:color="231F20"/>
            </w:tcBorders>
            <w:shd w:val="clear" w:color="auto" w:fill="EBECEC"/>
          </w:tcPr>
          <w:p>
            <w:pPr>
              <w:jc w:val="right"/>
              <w:ind w:right="21"/>
              <w:spacing w:after="0"/>
              <w:rPr>
                <w:sz w:val="20"/>
                <w:szCs w:val="20"/>
                <w:color w:val="auto"/>
              </w:rPr>
            </w:pPr>
            <w:r>
              <w:rPr>
                <w:rFonts w:ascii="Arial" w:cs="Arial" w:eastAsia="Arial" w:hAnsi="Arial"/>
                <w:sz w:val="20"/>
                <w:szCs w:val="20"/>
                <w:color w:val="231F20"/>
              </w:rPr>
              <w:t>28,311</w:t>
            </w:r>
          </w:p>
        </w:tc>
        <w:tc>
          <w:tcPr>
            <w:tcW w:w="200" w:type="dxa"/>
            <w:vAlign w:val="bottom"/>
            <w:tcBorders>
              <w:bottom w:val="single" w:sz="8" w:color="EBECEC"/>
            </w:tcBorders>
            <w:shd w:val="clear" w:color="auto" w:fill="EBECEC"/>
          </w:tcPr>
          <w:p>
            <w:pPr>
              <w:spacing w:after="0"/>
              <w:rPr>
                <w:sz w:val="22"/>
                <w:szCs w:val="22"/>
                <w:color w:val="auto"/>
              </w:rPr>
            </w:pPr>
          </w:p>
        </w:tc>
        <w:tc>
          <w:tcPr>
            <w:tcW w:w="380" w:type="dxa"/>
            <w:vAlign w:val="bottom"/>
            <w:tcBorders>
              <w:bottom w:val="single" w:sz="8" w:color="231F20"/>
            </w:tcBorders>
            <w:shd w:val="clear" w:color="auto" w:fill="EBECEC"/>
          </w:tcPr>
          <w:p>
            <w:pPr>
              <w:spacing w:after="0"/>
              <w:rPr>
                <w:sz w:val="22"/>
                <w:szCs w:val="22"/>
                <w:color w:val="auto"/>
              </w:rPr>
            </w:pPr>
          </w:p>
        </w:tc>
        <w:tc>
          <w:tcPr>
            <w:tcW w:w="1360" w:type="dxa"/>
            <w:vAlign w:val="bottom"/>
            <w:tcBorders>
              <w:bottom w:val="single" w:sz="8" w:color="231F20"/>
            </w:tcBorders>
            <w:shd w:val="clear" w:color="auto" w:fill="EBECEC"/>
          </w:tcPr>
          <w:p>
            <w:pPr>
              <w:jc w:val="right"/>
              <w:ind w:right="1"/>
              <w:spacing w:after="0"/>
              <w:rPr>
                <w:sz w:val="20"/>
                <w:szCs w:val="20"/>
                <w:color w:val="auto"/>
              </w:rPr>
            </w:pPr>
            <w:r>
              <w:rPr>
                <w:rFonts w:ascii="Arial" w:cs="Arial" w:eastAsia="Arial" w:hAnsi="Arial"/>
                <w:sz w:val="20"/>
                <w:szCs w:val="20"/>
                <w:color w:val="231F20"/>
              </w:rPr>
              <w:t>54,589</w:t>
            </w:r>
          </w:p>
        </w:tc>
      </w:tr>
      <w:tr>
        <w:trPr>
          <w:trHeight w:val="219"/>
        </w:trPr>
        <w:tc>
          <w:tcPr>
            <w:tcW w:w="7120" w:type="dxa"/>
            <w:vAlign w:val="bottom"/>
          </w:tcPr>
          <w:p>
            <w:pPr>
              <w:spacing w:after="0" w:line="219" w:lineRule="exact"/>
              <w:rPr>
                <w:sz w:val="20"/>
                <w:szCs w:val="20"/>
                <w:color w:val="auto"/>
              </w:rPr>
            </w:pPr>
            <w:r>
              <w:rPr>
                <w:rFonts w:ascii="Arial" w:cs="Arial" w:eastAsia="Arial" w:hAnsi="Arial"/>
                <w:sz w:val="20"/>
                <w:szCs w:val="20"/>
                <w:b w:val="1"/>
                <w:bCs w:val="1"/>
                <w:color w:val="231F20"/>
              </w:rPr>
              <w:t>Cash flows from financing activities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4"/>
        </w:trPr>
        <w:tc>
          <w:tcPr>
            <w:tcW w:w="7120" w:type="dxa"/>
            <w:vAlign w:val="bottom"/>
            <w:shd w:val="clear" w:color="auto" w:fill="EBECEC"/>
          </w:tcPr>
          <w:p>
            <w:pPr>
              <w:ind w:left="560"/>
              <w:spacing w:after="0"/>
              <w:rPr>
                <w:sz w:val="20"/>
                <w:szCs w:val="20"/>
                <w:color w:val="auto"/>
              </w:rPr>
            </w:pPr>
            <w:r>
              <w:rPr>
                <w:rFonts w:ascii="Arial" w:cs="Arial" w:eastAsia="Arial" w:hAnsi="Arial"/>
                <w:sz w:val="20"/>
                <w:szCs w:val="20"/>
                <w:color w:val="231F20"/>
              </w:rPr>
              <w:t>Proceeds from issuance of common stock under the ESPP</w:t>
            </w:r>
          </w:p>
        </w:tc>
        <w:tc>
          <w:tcPr>
            <w:tcW w:w="2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380" w:type="dxa"/>
            <w:vAlign w:val="bottom"/>
            <w:shd w:val="clear" w:color="auto" w:fill="EBECEC"/>
          </w:tcPr>
          <w:p>
            <w:pPr>
              <w:jc w:val="right"/>
              <w:ind w:right="21"/>
              <w:spacing w:after="0"/>
              <w:rPr>
                <w:sz w:val="20"/>
                <w:szCs w:val="20"/>
                <w:color w:val="auto"/>
              </w:rPr>
            </w:pPr>
            <w:r>
              <w:rPr>
                <w:rFonts w:ascii="Arial" w:cs="Arial" w:eastAsia="Arial" w:hAnsi="Arial"/>
                <w:sz w:val="20"/>
                <w:szCs w:val="20"/>
                <w:color w:val="231F20"/>
              </w:rPr>
              <w:t>86</w:t>
            </w:r>
          </w:p>
        </w:tc>
        <w:tc>
          <w:tcPr>
            <w:tcW w:w="20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360" w:type="dxa"/>
            <w:vAlign w:val="bottom"/>
            <w:shd w:val="clear" w:color="auto" w:fill="EBECEC"/>
          </w:tcPr>
          <w:p>
            <w:pPr>
              <w:jc w:val="right"/>
              <w:ind w:right="1"/>
              <w:spacing w:after="0"/>
              <w:rPr>
                <w:sz w:val="20"/>
                <w:szCs w:val="20"/>
                <w:color w:val="auto"/>
              </w:rPr>
            </w:pPr>
            <w:r>
              <w:rPr>
                <w:rFonts w:ascii="Arial" w:cs="Arial" w:eastAsia="Arial" w:hAnsi="Arial"/>
                <w:sz w:val="20"/>
                <w:szCs w:val="20"/>
                <w:color w:val="231F20"/>
              </w:rPr>
              <w:t>147</w:t>
            </w:r>
          </w:p>
        </w:tc>
      </w:tr>
      <w:tr>
        <w:trPr>
          <w:trHeight w:val="244"/>
        </w:trPr>
        <w:tc>
          <w:tcPr>
            <w:tcW w:w="7120" w:type="dxa"/>
            <w:vAlign w:val="bottom"/>
            <w:tcBorders>
              <w:bottom w:val="single" w:sz="8" w:color="EBECEC"/>
            </w:tcBorders>
          </w:tcPr>
          <w:p>
            <w:pPr>
              <w:ind w:left="560"/>
              <w:spacing w:after="0"/>
              <w:rPr>
                <w:sz w:val="20"/>
                <w:szCs w:val="20"/>
                <w:color w:val="auto"/>
              </w:rPr>
            </w:pPr>
            <w:r>
              <w:rPr>
                <w:rFonts w:ascii="Arial" w:cs="Arial" w:eastAsia="Arial" w:hAnsi="Arial"/>
                <w:sz w:val="20"/>
                <w:szCs w:val="20"/>
                <w:color w:val="231F20"/>
              </w:rPr>
              <w:t>Proceeds from exercise of stock options</w:t>
            </w:r>
          </w:p>
        </w:tc>
        <w:tc>
          <w:tcPr>
            <w:tcW w:w="20" w:type="dxa"/>
            <w:vAlign w:val="bottom"/>
            <w:tcBorders>
              <w:bottom w:val="single" w:sz="8" w:color="EBECEC"/>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380" w:type="dxa"/>
            <w:vAlign w:val="bottom"/>
            <w:tcBorders>
              <w:bottom w:val="single" w:sz="8" w:color="231F20"/>
            </w:tcBorders>
          </w:tcPr>
          <w:p>
            <w:pPr>
              <w:jc w:val="right"/>
              <w:ind w:right="21"/>
              <w:spacing w:after="0"/>
              <w:rPr>
                <w:sz w:val="20"/>
                <w:szCs w:val="20"/>
                <w:color w:val="auto"/>
              </w:rPr>
            </w:pPr>
            <w:r>
              <w:rPr>
                <w:rFonts w:ascii="Arial" w:cs="Arial" w:eastAsia="Arial" w:hAnsi="Arial"/>
                <w:sz w:val="20"/>
                <w:szCs w:val="20"/>
                <w:color w:val="231F20"/>
              </w:rPr>
              <w:t>27</w:t>
            </w:r>
          </w:p>
        </w:tc>
        <w:tc>
          <w:tcPr>
            <w:tcW w:w="200" w:type="dxa"/>
            <w:vAlign w:val="bottom"/>
            <w:tcBorders>
              <w:bottom w:val="single" w:sz="8" w:color="EBECEC"/>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225</w:t>
            </w:r>
          </w:p>
        </w:tc>
      </w:tr>
      <w:tr>
        <w:trPr>
          <w:trHeight w:val="259"/>
        </w:trPr>
        <w:tc>
          <w:tcPr>
            <w:tcW w:w="7120" w:type="dxa"/>
            <w:vAlign w:val="bottom"/>
            <w:tcBorders>
              <w:bottom w:val="single" w:sz="8" w:color="EBECEC"/>
            </w:tcBorders>
            <w:shd w:val="clear" w:color="auto" w:fill="EBECEC"/>
          </w:tcPr>
          <w:p>
            <w:pPr>
              <w:ind w:left="1120"/>
              <w:spacing w:after="0"/>
              <w:rPr>
                <w:sz w:val="20"/>
                <w:szCs w:val="20"/>
                <w:color w:val="auto"/>
              </w:rPr>
            </w:pPr>
            <w:r>
              <w:rPr>
                <w:rFonts w:ascii="Arial" w:cs="Arial" w:eastAsia="Arial" w:hAnsi="Arial"/>
                <w:sz w:val="20"/>
                <w:szCs w:val="20"/>
                <w:color w:val="231F20"/>
              </w:rPr>
              <w:t>Net cash provided by financing activities</w:t>
            </w:r>
          </w:p>
        </w:tc>
        <w:tc>
          <w:tcPr>
            <w:tcW w:w="20" w:type="dxa"/>
            <w:vAlign w:val="bottom"/>
            <w:tcBorders>
              <w:bottom w:val="single" w:sz="8" w:color="EBECEC"/>
            </w:tcBorders>
            <w:shd w:val="clear" w:color="auto" w:fill="EBECEC"/>
          </w:tcPr>
          <w:p>
            <w:pPr>
              <w:spacing w:after="0"/>
              <w:rPr>
                <w:sz w:val="22"/>
                <w:szCs w:val="22"/>
                <w:color w:val="auto"/>
              </w:rPr>
            </w:pPr>
          </w:p>
        </w:tc>
        <w:tc>
          <w:tcPr>
            <w:tcW w:w="340" w:type="dxa"/>
            <w:vAlign w:val="bottom"/>
            <w:tcBorders>
              <w:bottom w:val="single" w:sz="8" w:color="231F20"/>
            </w:tcBorders>
            <w:shd w:val="clear" w:color="auto" w:fill="EBECEC"/>
          </w:tcPr>
          <w:p>
            <w:pPr>
              <w:spacing w:after="0"/>
              <w:rPr>
                <w:sz w:val="22"/>
                <w:szCs w:val="22"/>
                <w:color w:val="auto"/>
              </w:rPr>
            </w:pPr>
          </w:p>
        </w:tc>
        <w:tc>
          <w:tcPr>
            <w:tcW w:w="1380" w:type="dxa"/>
            <w:vAlign w:val="bottom"/>
            <w:tcBorders>
              <w:bottom w:val="single" w:sz="8" w:color="231F20"/>
            </w:tcBorders>
            <w:shd w:val="clear" w:color="auto" w:fill="EBECEC"/>
          </w:tcPr>
          <w:p>
            <w:pPr>
              <w:jc w:val="right"/>
              <w:ind w:right="21"/>
              <w:spacing w:after="0"/>
              <w:rPr>
                <w:sz w:val="20"/>
                <w:szCs w:val="20"/>
                <w:color w:val="auto"/>
              </w:rPr>
            </w:pPr>
            <w:r>
              <w:rPr>
                <w:rFonts w:ascii="Arial" w:cs="Arial" w:eastAsia="Arial" w:hAnsi="Arial"/>
                <w:sz w:val="20"/>
                <w:szCs w:val="20"/>
                <w:color w:val="231F20"/>
              </w:rPr>
              <w:t>113</w:t>
            </w:r>
          </w:p>
        </w:tc>
        <w:tc>
          <w:tcPr>
            <w:tcW w:w="200" w:type="dxa"/>
            <w:vAlign w:val="bottom"/>
            <w:tcBorders>
              <w:bottom w:val="single" w:sz="8" w:color="EBECEC"/>
            </w:tcBorders>
            <w:shd w:val="clear" w:color="auto" w:fill="EBECEC"/>
          </w:tcPr>
          <w:p>
            <w:pPr>
              <w:spacing w:after="0"/>
              <w:rPr>
                <w:sz w:val="22"/>
                <w:szCs w:val="22"/>
                <w:color w:val="auto"/>
              </w:rPr>
            </w:pPr>
          </w:p>
        </w:tc>
        <w:tc>
          <w:tcPr>
            <w:tcW w:w="380" w:type="dxa"/>
            <w:vAlign w:val="bottom"/>
            <w:tcBorders>
              <w:bottom w:val="single" w:sz="8" w:color="231F20"/>
            </w:tcBorders>
            <w:shd w:val="clear" w:color="auto" w:fill="EBECEC"/>
          </w:tcPr>
          <w:p>
            <w:pPr>
              <w:spacing w:after="0"/>
              <w:rPr>
                <w:sz w:val="22"/>
                <w:szCs w:val="22"/>
                <w:color w:val="auto"/>
              </w:rPr>
            </w:pPr>
          </w:p>
        </w:tc>
        <w:tc>
          <w:tcPr>
            <w:tcW w:w="1360" w:type="dxa"/>
            <w:vAlign w:val="bottom"/>
            <w:tcBorders>
              <w:bottom w:val="single" w:sz="8" w:color="231F20"/>
            </w:tcBorders>
            <w:shd w:val="clear" w:color="auto" w:fill="EBECEC"/>
          </w:tcPr>
          <w:p>
            <w:pPr>
              <w:jc w:val="right"/>
              <w:ind w:right="1"/>
              <w:spacing w:after="0"/>
              <w:rPr>
                <w:sz w:val="20"/>
                <w:szCs w:val="20"/>
                <w:color w:val="auto"/>
              </w:rPr>
            </w:pPr>
            <w:r>
              <w:rPr>
                <w:rFonts w:ascii="Arial" w:cs="Arial" w:eastAsia="Arial" w:hAnsi="Arial"/>
                <w:sz w:val="20"/>
                <w:szCs w:val="20"/>
                <w:color w:val="231F20"/>
              </w:rPr>
              <w:t>372</w:t>
            </w:r>
          </w:p>
        </w:tc>
      </w:tr>
      <w:tr>
        <w:trPr>
          <w:trHeight w:val="219"/>
        </w:trPr>
        <w:tc>
          <w:tcPr>
            <w:tcW w:w="7120" w:type="dxa"/>
            <w:vAlign w:val="bottom"/>
          </w:tcPr>
          <w:p>
            <w:pPr>
              <w:spacing w:after="0" w:line="219" w:lineRule="exact"/>
              <w:rPr>
                <w:sz w:val="20"/>
                <w:szCs w:val="20"/>
                <w:color w:val="auto"/>
              </w:rPr>
            </w:pPr>
            <w:r>
              <w:rPr>
                <w:rFonts w:ascii="Arial" w:cs="Arial" w:eastAsia="Arial" w:hAnsi="Arial"/>
                <w:sz w:val="20"/>
                <w:szCs w:val="20"/>
                <w:color w:val="231F20"/>
              </w:rPr>
              <w:t>Net (decrease) increase in cash and cash equivalents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line="219" w:lineRule="exact"/>
              <w:rPr>
                <w:sz w:val="20"/>
                <w:szCs w:val="20"/>
                <w:color w:val="auto"/>
              </w:rPr>
            </w:pPr>
            <w:r>
              <w:rPr>
                <w:rFonts w:ascii="Arial" w:cs="Arial" w:eastAsia="Arial" w:hAnsi="Arial"/>
                <w:sz w:val="20"/>
                <w:szCs w:val="20"/>
                <w:color w:val="231F20"/>
              </w:rPr>
              <w:t>(1,410)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1"/>
              <w:spacing w:after="0" w:line="219" w:lineRule="exact"/>
              <w:rPr>
                <w:sz w:val="20"/>
                <w:szCs w:val="20"/>
                <w:color w:val="auto"/>
              </w:rPr>
            </w:pPr>
            <w:r>
              <w:rPr>
                <w:rFonts w:ascii="Arial" w:cs="Arial" w:eastAsia="Arial" w:hAnsi="Arial"/>
                <w:sz w:val="20"/>
                <w:szCs w:val="20"/>
                <w:color w:val="231F20"/>
              </w:rPr>
              <w:t>5,704</w:t>
            </w:r>
          </w:p>
        </w:tc>
      </w:tr>
      <w:tr>
        <w:trPr>
          <w:trHeight w:val="264"/>
        </w:trPr>
        <w:tc>
          <w:tcPr>
            <w:tcW w:w="7120" w:type="dxa"/>
            <w:vAlign w:val="bottom"/>
            <w:tcBorders>
              <w:bottom w:val="single" w:sz="8" w:color="EBECEC"/>
            </w:tcBorders>
            <w:shd w:val="clear" w:color="auto" w:fill="EBECEC"/>
          </w:tcPr>
          <w:p>
            <w:pPr>
              <w:spacing w:after="0"/>
              <w:rPr>
                <w:sz w:val="20"/>
                <w:szCs w:val="20"/>
                <w:color w:val="auto"/>
              </w:rPr>
            </w:pPr>
            <w:r>
              <w:rPr>
                <w:rFonts w:ascii="Arial" w:cs="Arial" w:eastAsia="Arial" w:hAnsi="Arial"/>
                <w:sz w:val="20"/>
                <w:szCs w:val="20"/>
                <w:color w:val="231F20"/>
              </w:rPr>
              <w:t>Cash and cash equivalents at the beginning of the period</w:t>
            </w:r>
          </w:p>
        </w:tc>
        <w:tc>
          <w:tcPr>
            <w:tcW w:w="20" w:type="dxa"/>
            <w:vAlign w:val="bottom"/>
            <w:tcBorders>
              <w:bottom w:val="single" w:sz="8" w:color="EBECEC"/>
            </w:tcBorders>
            <w:shd w:val="clear" w:color="auto" w:fill="EBECEC"/>
          </w:tcPr>
          <w:p>
            <w:pPr>
              <w:spacing w:after="0"/>
              <w:rPr>
                <w:sz w:val="22"/>
                <w:szCs w:val="22"/>
                <w:color w:val="auto"/>
              </w:rPr>
            </w:pPr>
          </w:p>
        </w:tc>
        <w:tc>
          <w:tcPr>
            <w:tcW w:w="340" w:type="dxa"/>
            <w:vAlign w:val="bottom"/>
            <w:tcBorders>
              <w:bottom w:val="single" w:sz="8" w:color="231F20"/>
            </w:tcBorders>
            <w:shd w:val="clear" w:color="auto" w:fill="EBECEC"/>
          </w:tcPr>
          <w:p>
            <w:pPr>
              <w:spacing w:after="0"/>
              <w:rPr>
                <w:sz w:val="22"/>
                <w:szCs w:val="22"/>
                <w:color w:val="auto"/>
              </w:rPr>
            </w:pPr>
          </w:p>
        </w:tc>
        <w:tc>
          <w:tcPr>
            <w:tcW w:w="1380" w:type="dxa"/>
            <w:vAlign w:val="bottom"/>
            <w:tcBorders>
              <w:bottom w:val="single" w:sz="8" w:color="231F20"/>
            </w:tcBorders>
            <w:shd w:val="clear" w:color="auto" w:fill="EBECEC"/>
          </w:tcPr>
          <w:p>
            <w:pPr>
              <w:jc w:val="right"/>
              <w:ind w:right="21"/>
              <w:spacing w:after="0"/>
              <w:rPr>
                <w:sz w:val="20"/>
                <w:szCs w:val="20"/>
                <w:color w:val="auto"/>
              </w:rPr>
            </w:pPr>
            <w:r>
              <w:rPr>
                <w:rFonts w:ascii="Arial" w:cs="Arial" w:eastAsia="Arial" w:hAnsi="Arial"/>
                <w:sz w:val="20"/>
                <w:szCs w:val="20"/>
                <w:color w:val="231F20"/>
              </w:rPr>
              <w:t>21,351</w:t>
            </w:r>
          </w:p>
        </w:tc>
        <w:tc>
          <w:tcPr>
            <w:tcW w:w="200" w:type="dxa"/>
            <w:vAlign w:val="bottom"/>
            <w:tcBorders>
              <w:bottom w:val="single" w:sz="8" w:color="EBECEC"/>
            </w:tcBorders>
            <w:shd w:val="clear" w:color="auto" w:fill="EBECEC"/>
          </w:tcPr>
          <w:p>
            <w:pPr>
              <w:spacing w:after="0"/>
              <w:rPr>
                <w:sz w:val="22"/>
                <w:szCs w:val="22"/>
                <w:color w:val="auto"/>
              </w:rPr>
            </w:pPr>
          </w:p>
        </w:tc>
        <w:tc>
          <w:tcPr>
            <w:tcW w:w="380" w:type="dxa"/>
            <w:vAlign w:val="bottom"/>
            <w:tcBorders>
              <w:bottom w:val="single" w:sz="8" w:color="231F20"/>
            </w:tcBorders>
            <w:shd w:val="clear" w:color="auto" w:fill="EBECEC"/>
          </w:tcPr>
          <w:p>
            <w:pPr>
              <w:spacing w:after="0"/>
              <w:rPr>
                <w:sz w:val="22"/>
                <w:szCs w:val="22"/>
                <w:color w:val="auto"/>
              </w:rPr>
            </w:pPr>
          </w:p>
        </w:tc>
        <w:tc>
          <w:tcPr>
            <w:tcW w:w="1360" w:type="dxa"/>
            <w:vAlign w:val="bottom"/>
            <w:tcBorders>
              <w:bottom w:val="single" w:sz="8" w:color="231F20"/>
            </w:tcBorders>
            <w:shd w:val="clear" w:color="auto" w:fill="EBECEC"/>
          </w:tcPr>
          <w:p>
            <w:pPr>
              <w:jc w:val="right"/>
              <w:ind w:right="1"/>
              <w:spacing w:after="0"/>
              <w:rPr>
                <w:sz w:val="20"/>
                <w:szCs w:val="20"/>
                <w:color w:val="auto"/>
              </w:rPr>
            </w:pPr>
            <w:r>
              <w:rPr>
                <w:rFonts w:ascii="Arial" w:cs="Arial" w:eastAsia="Arial" w:hAnsi="Arial"/>
                <w:sz w:val="20"/>
                <w:szCs w:val="20"/>
                <w:color w:val="231F20"/>
              </w:rPr>
              <w:t>15,647</w:t>
            </w:r>
          </w:p>
        </w:tc>
      </w:tr>
      <w:tr>
        <w:trPr>
          <w:trHeight w:val="219"/>
        </w:trPr>
        <w:tc>
          <w:tcPr>
            <w:tcW w:w="7120" w:type="dxa"/>
            <w:vAlign w:val="bottom"/>
          </w:tcPr>
          <w:p>
            <w:pPr>
              <w:spacing w:after="0" w:line="219" w:lineRule="exact"/>
              <w:rPr>
                <w:sz w:val="20"/>
                <w:szCs w:val="20"/>
                <w:color w:val="auto"/>
              </w:rPr>
            </w:pPr>
            <w:r>
              <w:rPr>
                <w:rFonts w:ascii="Arial" w:cs="Arial" w:eastAsia="Arial" w:hAnsi="Arial"/>
                <w:sz w:val="20"/>
                <w:szCs w:val="20"/>
                <w:color w:val="231F20"/>
              </w:rPr>
              <w:t>Cash and cash equivalents at the end of the period</w:t>
            </w:r>
          </w:p>
        </w:tc>
        <w:tc>
          <w:tcPr>
            <w:tcW w:w="20" w:type="dxa"/>
            <w:vAlign w:val="bottom"/>
          </w:tcPr>
          <w:p>
            <w:pPr>
              <w:spacing w:after="0"/>
              <w:rPr>
                <w:sz w:val="19"/>
                <w:szCs w:val="19"/>
                <w:color w:val="auto"/>
              </w:rPr>
            </w:pPr>
          </w:p>
        </w:tc>
        <w:tc>
          <w:tcPr>
            <w:tcW w:w="340" w:type="dxa"/>
            <w:vAlign w:val="bottom"/>
            <w:tcBorders>
              <w:bottom w:val="single" w:sz="8" w:color="231F20"/>
            </w:tcBorders>
          </w:tcPr>
          <w:p>
            <w:pPr>
              <w:jc w:val="right"/>
              <w:ind w:right="185"/>
              <w:spacing w:after="0"/>
              <w:rPr>
                <w:sz w:val="20"/>
                <w:szCs w:val="20"/>
                <w:color w:val="auto"/>
              </w:rPr>
            </w:pPr>
            <w:r>
              <w:rPr>
                <w:rFonts w:ascii="Arial" w:cs="Arial" w:eastAsia="Arial" w:hAnsi="Arial"/>
                <w:sz w:val="15"/>
                <w:szCs w:val="15"/>
                <w:color w:val="231F20"/>
                <w:w w:val="71"/>
              </w:rPr>
              <w:t>$</w:t>
            </w:r>
          </w:p>
        </w:tc>
        <w:tc>
          <w:tcPr>
            <w:tcW w:w="1380" w:type="dxa"/>
            <w:vAlign w:val="bottom"/>
            <w:tcBorders>
              <w:bottom w:val="single" w:sz="8" w:color="231F20"/>
            </w:tcBorders>
          </w:tcPr>
          <w:p>
            <w:pPr>
              <w:jc w:val="right"/>
              <w:ind w:right="21"/>
              <w:spacing w:after="0" w:line="219" w:lineRule="exact"/>
              <w:rPr>
                <w:sz w:val="20"/>
                <w:szCs w:val="20"/>
                <w:color w:val="auto"/>
              </w:rPr>
            </w:pPr>
            <w:r>
              <w:rPr>
                <w:rFonts w:ascii="Arial" w:cs="Arial" w:eastAsia="Arial" w:hAnsi="Arial"/>
                <w:sz w:val="20"/>
                <w:szCs w:val="20"/>
                <w:color w:val="231F20"/>
              </w:rPr>
              <w:t>19,941</w:t>
            </w:r>
          </w:p>
        </w:tc>
        <w:tc>
          <w:tcPr>
            <w:tcW w:w="200" w:type="dxa"/>
            <w:vAlign w:val="bottom"/>
          </w:tcPr>
          <w:p>
            <w:pPr>
              <w:spacing w:after="0"/>
              <w:rPr>
                <w:sz w:val="19"/>
                <w:szCs w:val="19"/>
                <w:color w:val="auto"/>
              </w:rPr>
            </w:pPr>
          </w:p>
        </w:tc>
        <w:tc>
          <w:tcPr>
            <w:tcW w:w="380" w:type="dxa"/>
            <w:vAlign w:val="bottom"/>
            <w:tcBorders>
              <w:bottom w:val="single" w:sz="8" w:color="231F20"/>
            </w:tcBorders>
          </w:tcPr>
          <w:p>
            <w:pPr>
              <w:jc w:val="right"/>
              <w:ind w:right="160"/>
              <w:spacing w:after="0" w:line="219" w:lineRule="exact"/>
              <w:rPr>
                <w:sz w:val="20"/>
                <w:szCs w:val="20"/>
                <w:color w:val="auto"/>
              </w:rPr>
            </w:pPr>
            <w:r>
              <w:rPr>
                <w:rFonts w:ascii="Arial" w:cs="Arial" w:eastAsia="Arial" w:hAnsi="Arial"/>
                <w:sz w:val="20"/>
                <w:szCs w:val="20"/>
                <w:color w:val="231F20"/>
                <w:w w:val="89"/>
              </w:rPr>
              <w:t>$</w:t>
            </w:r>
          </w:p>
        </w:tc>
        <w:tc>
          <w:tcPr>
            <w:tcW w:w="1360" w:type="dxa"/>
            <w:vAlign w:val="bottom"/>
            <w:tcBorders>
              <w:bottom w:val="single" w:sz="8" w:color="231F20"/>
            </w:tcBorders>
          </w:tcPr>
          <w:p>
            <w:pPr>
              <w:jc w:val="right"/>
              <w:ind w:right="1"/>
              <w:spacing w:after="0" w:line="219" w:lineRule="exact"/>
              <w:rPr>
                <w:sz w:val="20"/>
                <w:szCs w:val="20"/>
                <w:color w:val="auto"/>
              </w:rPr>
            </w:pPr>
            <w:r>
              <w:rPr>
                <w:rFonts w:ascii="Arial" w:cs="Arial" w:eastAsia="Arial" w:hAnsi="Arial"/>
                <w:sz w:val="20"/>
                <w:szCs w:val="20"/>
                <w:color w:val="231F20"/>
              </w:rPr>
              <w:t>21,351</w:t>
            </w:r>
          </w:p>
        </w:tc>
      </w:tr>
      <w:tr>
        <w:trPr>
          <w:trHeight w:val="20"/>
        </w:trPr>
        <w:tc>
          <w:tcPr>
            <w:tcW w:w="7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The accompanying notes are an integral part of these financial statements.</w:t>
      </w:r>
    </w:p>
    <w:p>
      <w:pPr>
        <w:sectPr>
          <w:pgSz w:w="11880" w:h="15480" w:orient="portrait"/>
          <w:cols w:equalWidth="0" w:num="1">
            <w:col w:w="10800"/>
          </w:cols>
          <w:pgMar w:left="540" w:top="98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F-6</w:t>
      </w:r>
    </w:p>
    <w:p>
      <w:pPr>
        <w:sectPr>
          <w:pgSz w:w="11880" w:h="15480" w:orient="portrait"/>
          <w:cols w:equalWidth="0" w:num="1">
            <w:col w:w="10800"/>
          </w:cols>
          <w:pgMar w:left="540" w:top="986" w:right="540" w:bottom="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1. Organization and Description of the Business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Description of Business</w:t>
      </w:r>
    </w:p>
    <w:p>
      <w:pPr>
        <w:spacing w:after="0" w:line="116" w:lineRule="exact"/>
        <w:rPr>
          <w:sz w:val="20"/>
          <w:szCs w:val="20"/>
          <w:color w:val="auto"/>
        </w:rPr>
      </w:pPr>
    </w:p>
    <w:p>
      <w:pPr>
        <w:ind w:right="120" w:firstLine="490"/>
        <w:spacing w:after="0" w:line="246" w:lineRule="auto"/>
        <w:rPr>
          <w:sz w:val="20"/>
          <w:szCs w:val="20"/>
          <w:color w:val="auto"/>
        </w:rPr>
      </w:pPr>
      <w:r>
        <w:rPr>
          <w:rFonts w:ascii="Arial" w:cs="Arial" w:eastAsia="Arial" w:hAnsi="Arial"/>
          <w:sz w:val="20"/>
          <w:szCs w:val="20"/>
          <w:color w:val="231F20"/>
        </w:rPr>
        <w:t>AN2 Therapeutics, Inc. (the “Company”) is a clinical stage biopharmaceutical company focused on the discovery and development of novel small molecule therapeutics derived from our boron chemistry platform. Our development pipeline spans hematologic diseases, infectious diseases and oncology with three Phase 2 studies expected to initiate in 2026, two preclinical candidates, as well as advanced research programs focused on targets in oncology, bone disorders and infectious diseases. We are committed to delivering high-impact drugs to patients that address critical unmet needs and improve health outcomes. The Company was incorporated in the state of Delaware in February 2017, began operations in November 2019, began trading on the Nasdaq Global Select Market on March 25, 2022 under the symbol “ANTX”, and is based in Menlo Park, California.</w:t>
      </w:r>
    </w:p>
    <w:p>
      <w:pPr>
        <w:spacing w:after="0" w:line="194" w:lineRule="exact"/>
        <w:rPr>
          <w:sz w:val="20"/>
          <w:szCs w:val="20"/>
          <w:color w:val="auto"/>
        </w:rPr>
      </w:pPr>
    </w:p>
    <w:p>
      <w:pPr>
        <w:ind w:right="40" w:firstLine="490"/>
        <w:spacing w:after="0" w:line="254" w:lineRule="auto"/>
        <w:rPr>
          <w:sz w:val="20"/>
          <w:szCs w:val="20"/>
          <w:color w:val="auto"/>
        </w:rPr>
      </w:pPr>
      <w:r>
        <w:rPr>
          <w:rFonts w:ascii="Arial" w:cs="Arial" w:eastAsia="Arial" w:hAnsi="Arial"/>
          <w:sz w:val="20"/>
          <w:szCs w:val="20"/>
          <w:color w:val="231F20"/>
        </w:rPr>
        <w:t>Since launching operations in November 2019, the Company has devoted substantially all of its resources to performing research and development activities, including with respect to its initial product candidate, epetraborole, and other product candidates, business planning and restructuring, hiring personnel, raising capital, and providing general and administrative support for these operations.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Financings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At-The-Market Offering</w:t>
      </w:r>
    </w:p>
    <w:p>
      <w:pPr>
        <w:spacing w:after="0" w:line="116"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231F20"/>
        </w:rPr>
        <w:t>On April 6, 2023, the Company entered into a sales agreement (“Sales Agreement”) with Cowen and Company, LLC as the Company’s sales agent (“Agent”) to issue and sell up to an aggregate gross sales of $100.0 million in shares (“Shares”) of the Company’s common stock through an “at-the-market” equity offering program (“ATM Offering”). The Company will pay commissions to the Agent of up to 3.0% of the gross proceeds of the sale of the Shares sold under the Sales Agreement and reimburse the Agent for certain expenses. During the year ended December 31, 2023, the Company issued and sold 2,502,000 shares of common stock under the ATM Offering, resulting in net proceeds of $19.1 million, after deducting commissions and other offering costs. The Company did not sell any shares of common stock through the ATM Offering during the year ended December 31, 2025.</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Underwritten Offering</w:t>
      </w:r>
    </w:p>
    <w:p>
      <w:pPr>
        <w:spacing w:after="0" w:line="116" w:lineRule="exact"/>
        <w:rPr>
          <w:sz w:val="20"/>
          <w:szCs w:val="20"/>
          <w:color w:val="auto"/>
        </w:rPr>
      </w:pPr>
    </w:p>
    <w:p>
      <w:pPr>
        <w:ind w:right="80" w:firstLine="490"/>
        <w:spacing w:after="0" w:line="254" w:lineRule="auto"/>
        <w:rPr>
          <w:sz w:val="20"/>
          <w:szCs w:val="20"/>
          <w:color w:val="auto"/>
        </w:rPr>
      </w:pPr>
      <w:r>
        <w:rPr>
          <w:rFonts w:ascii="Arial" w:cs="Arial" w:eastAsia="Arial" w:hAnsi="Arial"/>
          <w:sz w:val="20"/>
          <w:szCs w:val="20"/>
          <w:color w:val="231F20"/>
        </w:rPr>
        <w:t>On August 15, 2023, the Company entered into an underwriting agreement (the “Underwriting Agreement”) with Cowen and Company, LLC, Leerink Partners LLC and Evercore Group L.L.C., as representatives of several underwriters, to issue and sell 7,777,778 shares of common stock at an offering price of $9.00 per share, resulting in net proceeds of $65.5 million, after deducting commissions and other offering costs (the “Underwritten Offering”).</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2. Summary of Significant Accounting Policies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Basis of Presentation</w:t>
      </w:r>
    </w:p>
    <w:p>
      <w:pPr>
        <w:spacing w:after="0" w:line="116"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231F20"/>
        </w:rPr>
        <w:t>The Company’s financial statements have been prepared in accordance with United States generally accepted accounting principles (“U.S. GAAP”). Certain reclassifications have been made to the prior year presentation to conform to the current year presentation. The prior year presentation of "other income, net" on the statements of operations and comprehensive loss has been separated to “interest income” and “other income” and conformed to reflect the current year's presentation.</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Risks and Uncertainties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Liquidity</w:t>
      </w:r>
    </w:p>
    <w:p>
      <w:pPr>
        <w:spacing w:after="0" w:line="112"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231F20"/>
        </w:rPr>
        <w:t>Since inception, the Company has incurred significant losses and negative net cash flows from operations. During the years ended December 31, 2025 and 2024, the Company incurred a net loss of $35.2 million and $51.3 million, respectively, and had cash flows used in operating activities of $29.8 million and $49.3 million, respectively. The Company has an accumulated deficit of $241.0 million and $205.8 million as of December 31, 2025 and 2024, respectively, and will require substantial additional capital for research and development activities. The Company anticipates incurring additional losses until such time, if ever, that it can generate significant sales of its product candidates currently in development.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F-7</w:t>
      </w:r>
    </w:p>
    <w:p>
      <w:pPr>
        <w:sectPr>
          <w:pgSz w:w="11880" w:h="15480" w:orient="portrait"/>
          <w:cols w:equalWidth="0" w:num="1">
            <w:col w:w="10800"/>
          </w:cols>
          <w:pgMar w:left="540" w:top="746" w:right="540" w:bottom="0" w:gutter="0" w:footer="0" w:header="0"/>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0" w:lineRule="exact"/>
        <w:rPr>
          <w:sz w:val="20"/>
          <w:szCs w:val="20"/>
          <w:color w:val="auto"/>
        </w:rPr>
      </w:pPr>
    </w:p>
    <w:p>
      <w:pPr>
        <w:ind w:right="60" w:firstLine="490"/>
        <w:spacing w:after="0" w:line="245" w:lineRule="auto"/>
        <w:rPr>
          <w:sz w:val="20"/>
          <w:szCs w:val="20"/>
          <w:color w:val="auto"/>
        </w:rPr>
      </w:pPr>
      <w:r>
        <w:rPr>
          <w:rFonts w:ascii="Arial" w:cs="Arial" w:eastAsia="Arial" w:hAnsi="Arial"/>
          <w:sz w:val="20"/>
          <w:szCs w:val="20"/>
          <w:color w:val="231F20"/>
        </w:rPr>
        <w:t>As of December 31, 2025, the Company had cash, cash equivalents, short-term investments and long-term investments of $60.0 million. Management believes that its cash, cash equivalents and investments as of December 31, 2025 will be sufficient to fund its current operating plan through at least 12 months from the issuance date of these financial statements. Future capital requirements will depend on many factors, including the timing and extent of spending on research and development, including costs for preclinical and nonclinical studies, clinical trials, and clinical trial material manufacturing.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Segments</w:t>
      </w:r>
    </w:p>
    <w:p>
      <w:pPr>
        <w:spacing w:after="0" w:line="116" w:lineRule="exact"/>
        <w:rPr>
          <w:sz w:val="20"/>
          <w:szCs w:val="20"/>
          <w:color w:val="auto"/>
        </w:rPr>
      </w:pPr>
    </w:p>
    <w:p>
      <w:pPr>
        <w:ind w:right="940" w:firstLine="490"/>
        <w:spacing w:after="0" w:line="282" w:lineRule="auto"/>
        <w:rPr>
          <w:sz w:val="20"/>
          <w:szCs w:val="20"/>
          <w:color w:val="auto"/>
        </w:rPr>
      </w:pPr>
      <w:r>
        <w:rPr>
          <w:rFonts w:ascii="Arial" w:cs="Arial" w:eastAsia="Arial" w:hAnsi="Arial"/>
          <w:sz w:val="20"/>
          <w:szCs w:val="20"/>
          <w:color w:val="231F20"/>
        </w:rPr>
        <w:t>The Company operates and manages its business as one reportable and operating segment. For financial information related to the Company's one operating segment see Note 13 - Segment Reporting.</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Use of Estimates</w:t>
      </w:r>
    </w:p>
    <w:p>
      <w:pPr>
        <w:spacing w:after="0" w:line="116" w:lineRule="exact"/>
        <w:rPr>
          <w:sz w:val="20"/>
          <w:szCs w:val="20"/>
          <w:color w:val="auto"/>
        </w:rPr>
      </w:pPr>
    </w:p>
    <w:p>
      <w:pPr>
        <w:ind w:right="120" w:firstLine="490"/>
        <w:spacing w:after="0" w:line="247" w:lineRule="auto"/>
        <w:rPr>
          <w:sz w:val="20"/>
          <w:szCs w:val="20"/>
          <w:color w:val="auto"/>
        </w:rPr>
      </w:pPr>
      <w:r>
        <w:rPr>
          <w:rFonts w:ascii="Arial" w:cs="Arial" w:eastAsia="Arial" w:hAnsi="Arial"/>
          <w:sz w:val="20"/>
          <w:szCs w:val="20"/>
          <w:color w:val="231F20"/>
        </w:rPr>
        <w:t>The preparation of financial statements in conformity with U.S. GAAP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research and development accruals, fair value of assets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Research and Development Expenses</w:t>
      </w:r>
    </w:p>
    <w:p>
      <w:pPr>
        <w:spacing w:after="0" w:line="116"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231F20"/>
        </w:rPr>
        <w:t>All research and development costs, including work performed by third parties, are expensed as incurred. Research and development costs consist of salaries and other personnel-related expenses, including associated stock-based compensation, consulting fees, and facility costs, as well as fees paid to other entities that conduct certain research and development activities on behalf of the Company. Payments made prior to the receipt of goods or services to be used in research and development are capitalized until the goods are received or services are rendered.</w:t>
      </w:r>
    </w:p>
    <w:p>
      <w:pPr>
        <w:spacing w:after="0" w:line="192"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As part of the process of preparing its financial statements, the Company estimates its accrued expenses.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contract manufacturing and clinical and other research organizations, academic research centers and other vendors in connection with research and development activities for which the Company has not yet been invoiced.</w:t>
      </w:r>
    </w:p>
    <w:p>
      <w:pPr>
        <w:sectPr>
          <w:pgSz w:w="11880" w:h="15480" w:orient="portrait"/>
          <w:cols w:equalWidth="0" w:num="1">
            <w:col w:w="10800"/>
          </w:cols>
          <w:pgMar w:left="540" w:top="75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F-8</w:t>
      </w:r>
    </w:p>
    <w:p>
      <w:pPr>
        <w:sectPr>
          <w:pgSz w:w="11880" w:h="15480" w:orient="portrait"/>
          <w:cols w:equalWidth="0" w:num="1">
            <w:col w:w="10800"/>
          </w:cols>
          <w:pgMar w:left="540" w:top="756" w:right="540" w:bottom="6"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Stock-Based Compensation</w:t>
      </w:r>
    </w:p>
    <w:p>
      <w:pPr>
        <w:spacing w:after="0" w:line="116"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231F20"/>
        </w:rPr>
        <w:t>The Company measures and recognizes compensation expense for equity-classified stock-based awards made to employees, directors and non-employees based on the grant date estimated fair value of each award. Compensation expense for employee and director awards is recognized on a straight-line basis over the requisite service period which is generally the vesting period for the entire award. Expense is adjusted for forfeitures as they occur. Compensation expense for non-employee awards is recognized in the same period and manner as if the Company had paid cash for the goods or services provided.</w:t>
      </w:r>
    </w:p>
    <w:p>
      <w:pPr>
        <w:spacing w:after="0" w:line="194" w:lineRule="exact"/>
        <w:rPr>
          <w:sz w:val="20"/>
          <w:szCs w:val="20"/>
          <w:color w:val="auto"/>
        </w:rPr>
      </w:pPr>
    </w:p>
    <w:p>
      <w:pPr>
        <w:ind w:firstLine="490"/>
        <w:spacing w:after="0" w:line="242" w:lineRule="auto"/>
        <w:rPr>
          <w:sz w:val="20"/>
          <w:szCs w:val="20"/>
          <w:color w:val="auto"/>
        </w:rPr>
      </w:pPr>
      <w:r>
        <w:rPr>
          <w:rFonts w:ascii="Arial" w:cs="Arial" w:eastAsia="Arial" w:hAnsi="Arial"/>
          <w:sz w:val="20"/>
          <w:szCs w:val="20"/>
          <w:color w:val="231F20"/>
        </w:rPr>
        <w:t>The valuation model used for calculating the fair value of stock options for stock-based compensation expense is the Black-Scholes option-pricing model (the “Black-Scholes model”). The Black-Scholes model requires management to make assumptions and judgments about the variables used in the calculation, including the expected term, the expected volatility of common stock, an assumed risk-free interest rate, and expected dividends the Company may pay. Management uses the simplified calculation (based on the mid-point between the vesting date and the end of the contractual term) of the expected term for its stock options as the Company has concluded that its stock option history does not provide a reasonable basis upon which to estimate expected term. Through November 2025, volatility is based on an average of the historical volatilities of the common stock of entities with characteristics similar to the Company’s. Beginning in December 2025, after sufficient trading data of the Company’s own stock on the Nasdaq Global Market became available, we adopted a blended volatility methodology that combines the Company’s historical volatility with that of a peer group, weighing the volatility of its peer group for the amount of time prior to the March 2022 IPO so that the blended volatility term equals the expected term of the related stock-based award. We will continue to utilize this blended volatility methodology until sufficient historical trading data of the Company's own stock is available. The risk-free rate is based on the U.S. Treasury yield curve in effect at the time of grant for periods corresponding with the expected life of the option. The Company uses an assumed dividend yield of zero as the Company has never paid dividends and has no current plans to pay any dividends on its common stock.</w:t>
      </w:r>
    </w:p>
    <w:p>
      <w:pPr>
        <w:spacing w:after="0" w:line="210"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231F20"/>
        </w:rPr>
        <w:t>For option awards that contain performance conditions, compensation cost is recognized in the period in which it becomes probable that the performance condition will be satisfied. For option awards that vest upon a liquidity event or a change in control, the performance condition is not probable of being achieved until the event occurs. As a result, no compensation expense would be recognized until the performance-based vesting condition is achieved.</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Warrants</w:t>
      </w:r>
    </w:p>
    <w:p>
      <w:pPr>
        <w:spacing w:after="0" w:line="116"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color w:val="231F20"/>
        </w:rPr>
        <w:t>The Company accounts for warrants as equity-classified instruments based on an assessment of the warrant’s specific terms and applicable authoritative guidance in the Financial Accounting Standards Board ASC 480, Distinguishing Liabilities from Equity (“ASC 480”) and ASC 815, Derivatives and Hedging (“ASC 815”). This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In addition, the Company determines if the warrants meet the definition of a derivative based on their contractual terms. This assessment, which requires the use of professional judgment, is conducted at the time of warrant issuance and as of each subsequent quarterly period end date while the warrants are outstanding.</w:t>
      </w:r>
    </w:p>
    <w:p>
      <w:pPr>
        <w:spacing w:after="0" w:line="202" w:lineRule="exact"/>
        <w:rPr>
          <w:sz w:val="20"/>
          <w:szCs w:val="20"/>
          <w:color w:val="auto"/>
        </w:rPr>
      </w:pPr>
    </w:p>
    <w:p>
      <w:pPr>
        <w:ind w:right="180" w:firstLine="490"/>
        <w:spacing w:after="0" w:line="254" w:lineRule="auto"/>
        <w:rPr>
          <w:sz w:val="20"/>
          <w:szCs w:val="20"/>
          <w:color w:val="auto"/>
        </w:rPr>
      </w:pPr>
      <w:r>
        <w:rPr>
          <w:rFonts w:ascii="Arial" w:cs="Arial" w:eastAsia="Arial" w:hAnsi="Arial"/>
          <w:sz w:val="20"/>
          <w:szCs w:val="20"/>
          <w:color w:val="231F20"/>
        </w:rPr>
        <w:t>For issued or modified warrants that meet all of the criteria for equity classification, the warrants are required to be recorded as a component of additional paid-in capital at the time of issuance. The Company also evaluates if changes in contractual terms or other considerations would result in the reclassification of outstanding warrants from stockholders’ equity to liabilities (or vice versa).</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Cash and Cash Equivalents</w:t>
      </w:r>
    </w:p>
    <w:p>
      <w:pPr>
        <w:spacing w:after="0" w:line="116"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231F20"/>
        </w:rPr>
        <w:t>The Company considers all highly liquid investments with a maturity of three months or less when purchased to be cash equivalents. Cash equivalents, which consist of money market funds and commercial paper, are stated at fair value. As of December 31, 2025 and 2024, the Company had cash and cash equivalents of $19.9 million and $21.4 million, respectively.</w:t>
      </w:r>
    </w:p>
    <w:p>
      <w:pPr>
        <w:sectPr>
          <w:pgSz w:w="11880" w:h="15480" w:orient="portrait"/>
          <w:cols w:equalWidth="0" w:num="1">
            <w:col w:w="10800"/>
          </w:cols>
          <w:pgMar w:left="540" w:top="756" w:right="540" w:bottom="6"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F-9</w:t>
      </w:r>
    </w:p>
    <w:p>
      <w:pPr>
        <w:sectPr>
          <w:pgSz w:w="11880" w:h="15480" w:orient="portrait"/>
          <w:cols w:equalWidth="0" w:num="1">
            <w:col w:w="10800"/>
          </w:cols>
          <w:pgMar w:left="540" w:top="756" w:right="540" w:bottom="6" w:gutter="0" w:footer="0" w:header="0"/>
          <w:type w:val="continuous"/>
        </w:sectPr>
      </w:pPr>
    </w:p>
    <w:bookmarkStart w:id="100" w:name="page101"/>
    <w:bookmarkEnd w:id="100"/>
    <w:p>
      <w:pPr>
        <w:jc w:val="center"/>
        <w:ind w:right="-59"/>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Investments</w:t>
      </w:r>
    </w:p>
    <w:p>
      <w:pPr>
        <w:spacing w:after="0" w:line="116" w:lineRule="exact"/>
        <w:rPr>
          <w:sz w:val="20"/>
          <w:szCs w:val="20"/>
          <w:color w:val="auto"/>
        </w:rPr>
      </w:pPr>
    </w:p>
    <w:p>
      <w:pPr>
        <w:ind w:right="180" w:firstLine="490"/>
        <w:spacing w:after="0" w:line="247" w:lineRule="auto"/>
        <w:rPr>
          <w:sz w:val="20"/>
          <w:szCs w:val="20"/>
          <w:color w:val="auto"/>
        </w:rPr>
      </w:pPr>
      <w:r>
        <w:rPr>
          <w:rFonts w:ascii="Arial" w:cs="Arial" w:eastAsia="Arial" w:hAnsi="Arial"/>
          <w:sz w:val="20"/>
          <w:szCs w:val="20"/>
          <w:color w:val="231F20"/>
        </w:rPr>
        <w:t>Investments consist of U.S. Treasury securities, commercial paper, U.S. Government agency securities, and corporate debt securities. All of the Company’s investments are classified as available-for-sale and are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 The cost of investments sold, if any, is based on the specific identification method.</w:t>
      </w:r>
    </w:p>
    <w:p>
      <w:pPr>
        <w:spacing w:after="0" w:line="193"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Unrealized gains and losses on available-for-sale investments are reported in accumulated other comprehensive gain (loss) as a separate component of stockholders’ equity.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statements of operations and comprehensive loss. If neither criterion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other income. Any unrealized losses from declines in fair value below the amortized cost basis as a result of non-credit factors are recognized in accumulated other comprehensive income (loss) as a separate component of stockholders’ equity, along with unrealized gains. Realized gains and losses and declines in fair value, if any, on available-for-sale securities are included in other income in the statements of operations and comprehensive loss.</w:t>
      </w:r>
    </w:p>
    <w:p>
      <w:pPr>
        <w:spacing w:after="0" w:line="190"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231F20"/>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to prepaid expenses and other current assets. There have been no uncollectible accrued interest write-offs in the years ended December 31, 2025 or 2024.</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As of December 31, 2025 and 2024, the Company had investments of $40.1 million and $67.3 million, respectively.</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Concentrations of Credit Risk</w:t>
      </w:r>
    </w:p>
    <w:p>
      <w:pPr>
        <w:spacing w:after="0" w:line="116" w:lineRule="exact"/>
        <w:rPr>
          <w:sz w:val="20"/>
          <w:szCs w:val="20"/>
          <w:color w:val="auto"/>
        </w:rPr>
      </w:pPr>
    </w:p>
    <w:p>
      <w:pPr>
        <w:ind w:right="160" w:firstLine="490"/>
        <w:spacing w:after="0" w:line="248" w:lineRule="auto"/>
        <w:rPr>
          <w:sz w:val="20"/>
          <w:szCs w:val="20"/>
          <w:color w:val="auto"/>
        </w:rPr>
      </w:pPr>
      <w:r>
        <w:rPr>
          <w:rFonts w:ascii="Arial" w:cs="Arial" w:eastAsia="Arial" w:hAnsi="Arial"/>
          <w:sz w:val="20"/>
          <w:szCs w:val="20"/>
          <w:color w:val="231F20"/>
        </w:rPr>
        <w:t>Financial instruments that potentially subject the Company to concentrations of credit risk consist of cash, cash equivalents and investments. The Company’s cash is invested through financial institutions in the U.S. The Company’s investments consist of debt securities, issued by highly rated corporate entities or the U.S. government. The Company’s exposure to any individual corporate entity is limited by its investment policy. Deposits have and will continue to exceed federally insured limits. The Company invests its cash equivalents in highly rated money market funds. Through December 31, 2025, the Company has not experienced any credit losses in such accounts.</w:t>
      </w:r>
    </w:p>
    <w:p>
      <w:pPr>
        <w:spacing w:after="0" w:line="194" w:lineRule="exact"/>
        <w:rPr>
          <w:sz w:val="20"/>
          <w:szCs w:val="20"/>
          <w:color w:val="auto"/>
        </w:rPr>
      </w:pPr>
    </w:p>
    <w:p>
      <w:pPr>
        <w:ind w:right="340" w:firstLine="490"/>
        <w:spacing w:after="0" w:line="261" w:lineRule="auto"/>
        <w:rPr>
          <w:sz w:val="20"/>
          <w:szCs w:val="20"/>
          <w:color w:val="auto"/>
        </w:rPr>
      </w:pPr>
      <w:r>
        <w:rPr>
          <w:rFonts w:ascii="Arial" w:cs="Arial" w:eastAsia="Arial" w:hAnsi="Arial"/>
          <w:sz w:val="20"/>
          <w:szCs w:val="20"/>
          <w:color w:val="231F20"/>
        </w:rPr>
        <w:t>The Company is exposed to credit risk in the event of a default by the financial institutions holding its cash to the extent recorded on the balance sheets. Through December 31, 2025, the Company has no off-balance sheet concentrations of credit risk.</w:t>
      </w:r>
    </w:p>
    <w:p>
      <w:pPr>
        <w:sectPr>
          <w:pgSz w:w="11880" w:h="15480" w:orient="portrait"/>
          <w:cols w:equalWidth="0" w:num="1">
            <w:col w:w="10740"/>
          </w:cols>
          <w:pgMar w:left="540" w:top="756" w:right="6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231F20"/>
        </w:rPr>
        <w:t>F-10</w:t>
      </w:r>
    </w:p>
    <w:p>
      <w:pPr>
        <w:sectPr>
          <w:pgSz w:w="11880" w:h="15480" w:orient="portrait"/>
          <w:cols w:equalWidth="0" w:num="1">
            <w:col w:w="10740"/>
          </w:cols>
          <w:pgMar w:left="540" w:top="756" w:right="600" w:bottom="6"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Government Contract</w:t>
      </w:r>
    </w:p>
    <w:p>
      <w:pPr>
        <w:spacing w:after="0" w:line="116" w:lineRule="exact"/>
        <w:rPr>
          <w:sz w:val="20"/>
          <w:szCs w:val="20"/>
          <w:color w:val="auto"/>
        </w:rPr>
      </w:pPr>
    </w:p>
    <w:p>
      <w:pPr>
        <w:ind w:firstLine="490"/>
        <w:spacing w:after="0" w:line="241" w:lineRule="auto"/>
        <w:rPr>
          <w:sz w:val="20"/>
          <w:szCs w:val="20"/>
          <w:color w:val="auto"/>
        </w:rPr>
      </w:pPr>
      <w:r>
        <w:rPr>
          <w:rFonts w:ascii="Arial" w:cs="Arial" w:eastAsia="Arial" w:hAnsi="Arial"/>
          <w:sz w:val="20"/>
          <w:szCs w:val="20"/>
          <w:color w:val="231F20"/>
        </w:rPr>
        <w:t>In September 2022, the Company received a cost-reimbursement contract award under which the Company is eligible to receive up to $17.8 million from the U.S. National Institute of Allergy and Infectious Diseases (“NIAID”) to support preclinical, Phase 1 studies and other activities to enable advancement of epetraborole into late-stage development for acute systemic melioidosis and other biothreat pathogens. In April 2025, the Company entered into a contract modification with NIAID for a $0.5 million increase and term extension to an existing NIAID contract option. In June 2025, as part of a U.S. Government cost efficiency initiative under a 2025 Executive Order, the Company was notified that the NIAID will not exercise certain remaining options under the contract, resulting in a total $9.0 million reduction to the $18.3 million contract, for a total cumulative contract funding of up to $9.3 million. With the completion of pivotal work under the contract, including the manufacture of drug product, the Company is engaged with federal agencies to fund a Phase 2 proof-of-concept clinical trial for acute melioidosis. This project will be funded in whole with Federal funds from the NIAID, National Institutes of Health, and Department of Health and Human Services Contract No. 75N93022C00059. Accounting for this contract does not fall under ASC 606, Revenue from Contracts with Customers, as NIAID will not benefit directly from the advancement of epetraborole. As there was no authoritative guidance under U.S. GAAP on accounting for government assistance to for-profit business entities at the inception of the NIAID contract, the Company applied International Accounting Standards (IAS) 20, Accounting for Government Grants and Disclosure of Government Assistance, by analogy when accounting for the NIAID contract payments to the Company. The Company has not yet adopted Accounting Standards Update 2025-10, which was announced in December 2025 to address accounting for government assistance to for-profit business entities (see Recent Accounting Pronouncements Not Yet Adopted). Under IAS 20, government contract proceeds are recognized when there is reasonable assurance the conditions of the contract will be met and the contract funding will be received. For the NIAID contract, this occurs after the qualifying expenses related to the contract have been incurred, or the Company concludes the conditions of the contract have been substantially met. The income related to the reimbursement of operating expenses is then recorded as a reduction of those expenses (see Note 4 - Funding Arrangements).</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Grant Agreements</w:t>
      </w:r>
    </w:p>
    <w:p>
      <w:pPr>
        <w:spacing w:after="0" w:line="116"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231F20"/>
        </w:rPr>
        <w:t>The Company recognizes grant proceeds from the Gates Foundation, formerly the Bill and Melinda Gates Foundation, in accordance with ASC 958-605, Not-for-Profit Entities - Revenue Recognition. When qualifying costs are incurred and the conditions of the grant agreement have been met, the Company records a reduction to the research and development expenses incurred and a corresponding grant receivable. Cash received from grants in advance of incurring qualifying costs is recorded as a liability and recognized as a reduction to the qualifying research and development expenses incurred (see Note 4 - Funding Arrangements).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Comprehensive Loss</w:t>
      </w:r>
    </w:p>
    <w:p>
      <w:pPr>
        <w:spacing w:after="0" w:line="116" w:lineRule="exact"/>
        <w:rPr>
          <w:sz w:val="20"/>
          <w:szCs w:val="20"/>
          <w:color w:val="auto"/>
        </w:rPr>
      </w:pPr>
    </w:p>
    <w:p>
      <w:pPr>
        <w:ind w:right="80" w:firstLine="490"/>
        <w:spacing w:after="0" w:line="254" w:lineRule="auto"/>
        <w:rPr>
          <w:sz w:val="20"/>
          <w:szCs w:val="20"/>
          <w:color w:val="auto"/>
        </w:rPr>
      </w:pPr>
      <w:r>
        <w:rPr>
          <w:rFonts w:ascii="Arial" w:cs="Arial" w:eastAsia="Arial" w:hAnsi="Arial"/>
          <w:sz w:val="20"/>
          <w:szCs w:val="20"/>
          <w:color w:val="231F20"/>
        </w:rPr>
        <w:t>Comprehensive loss includes net loss and certain changes in stockholders’ equity that are excluded from net loss. The Company’s other comprehensive loss consists of net changes in unrealized gains and losses on its available-for-sale investments. For the years ended December 31, 2025 and 2024, the Company had an insignificant amount of net unrealized gain and $0.2 million of net unrealized loss on available-for-sale investments, respectively.</w:t>
      </w:r>
    </w:p>
    <w:p>
      <w:pPr>
        <w:sectPr>
          <w:pgSz w:w="11880" w:h="15480" w:orient="portrait"/>
          <w:cols w:equalWidth="0" w:num="1">
            <w:col w:w="10800"/>
          </w:cols>
          <w:pgMar w:left="540" w:top="75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F-11</w:t>
      </w:r>
    </w:p>
    <w:p>
      <w:pPr>
        <w:sectPr>
          <w:pgSz w:w="11880" w:h="15480" w:orient="portrait"/>
          <w:cols w:equalWidth="0" w:num="1">
            <w:col w:w="10800"/>
          </w:cols>
          <w:pgMar w:left="540" w:top="756" w:right="540" w:bottom="6"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Net Loss Per Share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Basic net loss per share attributable to common stockholders is calculated by dividing the net loss attributable to</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231F20"/>
        </w:rPr>
        <w:t>common stockholders by the weighted-average number of shares of common stock outstanding during the period, without</w:t>
      </w:r>
    </w:p>
    <w:p>
      <w:pPr>
        <w:spacing w:after="0"/>
        <w:rPr>
          <w:sz w:val="20"/>
          <w:szCs w:val="20"/>
          <w:color w:val="auto"/>
        </w:rPr>
      </w:pPr>
      <w:r>
        <w:rPr>
          <w:rFonts w:ascii="Arial" w:cs="Arial" w:eastAsia="Arial" w:hAnsi="Arial"/>
          <w:sz w:val="20"/>
          <w:szCs w:val="20"/>
          <w:color w:val="231F20"/>
        </w:rPr>
        <w:t>consideration for potentially dilutive securities. Diluted net loss per share attributable to common stockholders is computed</w:t>
      </w:r>
    </w:p>
    <w:p>
      <w:pPr>
        <w:spacing w:after="0"/>
        <w:rPr>
          <w:sz w:val="20"/>
          <w:szCs w:val="20"/>
          <w:color w:val="auto"/>
        </w:rPr>
      </w:pPr>
      <w:r>
        <w:rPr>
          <w:rFonts w:ascii="Arial" w:cs="Arial" w:eastAsia="Arial" w:hAnsi="Arial"/>
          <w:sz w:val="20"/>
          <w:szCs w:val="20"/>
          <w:color w:val="231F20"/>
        </w:rPr>
        <w:t>by dividing the net loss attributable to common stockholders by the weighted-average number of common stock and</w:t>
      </w:r>
    </w:p>
    <w:p>
      <w:pPr>
        <w:spacing w:after="0"/>
        <w:rPr>
          <w:sz w:val="20"/>
          <w:szCs w:val="20"/>
          <w:color w:val="auto"/>
        </w:rPr>
      </w:pPr>
      <w:r>
        <w:rPr>
          <w:rFonts w:ascii="Arial" w:cs="Arial" w:eastAsia="Arial" w:hAnsi="Arial"/>
          <w:sz w:val="20"/>
          <w:szCs w:val="20"/>
          <w:color w:val="231F20"/>
        </w:rPr>
        <w:t>potentially dilutive securities outstanding for the period. For purposes of the diluted net loss per share calculation, stock</w:t>
      </w:r>
    </w:p>
    <w:p>
      <w:pPr>
        <w:spacing w:after="0"/>
        <w:rPr>
          <w:sz w:val="20"/>
          <w:szCs w:val="20"/>
          <w:color w:val="auto"/>
        </w:rPr>
      </w:pPr>
      <w:r>
        <w:rPr>
          <w:rFonts w:ascii="Arial" w:cs="Arial" w:eastAsia="Arial" w:hAnsi="Arial"/>
          <w:sz w:val="20"/>
          <w:szCs w:val="20"/>
          <w:color w:val="231F20"/>
        </w:rPr>
        <w:t>options, unvested restricted stock units (“RSUs”), common stock subject to repurchase related to unvested early exercise</w:t>
      </w:r>
    </w:p>
    <w:p>
      <w:pPr>
        <w:spacing w:after="0"/>
        <w:rPr>
          <w:sz w:val="20"/>
          <w:szCs w:val="20"/>
          <w:color w:val="auto"/>
        </w:rPr>
      </w:pPr>
      <w:r>
        <w:rPr>
          <w:rFonts w:ascii="Arial" w:cs="Arial" w:eastAsia="Arial" w:hAnsi="Arial"/>
          <w:sz w:val="20"/>
          <w:szCs w:val="20"/>
          <w:color w:val="231F20"/>
        </w:rPr>
        <w:t>of stock options, and shares committed under the Company’s 2022 Employee Stock Purchase Plan (“ESPP”) are</w:t>
      </w:r>
    </w:p>
    <w:p>
      <w:pPr>
        <w:spacing w:after="0"/>
        <w:rPr>
          <w:sz w:val="20"/>
          <w:szCs w:val="20"/>
          <w:color w:val="auto"/>
        </w:rPr>
      </w:pPr>
      <w:r>
        <w:rPr>
          <w:rFonts w:ascii="Arial" w:cs="Arial" w:eastAsia="Arial" w:hAnsi="Arial"/>
          <w:sz w:val="20"/>
          <w:szCs w:val="20"/>
          <w:color w:val="231F20"/>
        </w:rPr>
        <w:t>considered to be potentially dilutive securities. Basic and diluted net loss attributable to common stockholders per share is</w:t>
      </w:r>
    </w:p>
    <w:p>
      <w:pPr>
        <w:spacing w:after="0"/>
        <w:rPr>
          <w:sz w:val="20"/>
          <w:szCs w:val="20"/>
          <w:color w:val="auto"/>
        </w:rPr>
      </w:pPr>
      <w:r>
        <w:rPr>
          <w:rFonts w:ascii="Arial" w:cs="Arial" w:eastAsia="Arial" w:hAnsi="Arial"/>
          <w:sz w:val="20"/>
          <w:szCs w:val="20"/>
          <w:color w:val="231F20"/>
        </w:rPr>
        <w:t>presented in conformity with the two-class method required for participating securities. The Company also considers the</w:t>
      </w:r>
    </w:p>
    <w:p>
      <w:pPr>
        <w:spacing w:after="0"/>
        <w:rPr>
          <w:sz w:val="20"/>
          <w:szCs w:val="20"/>
          <w:color w:val="auto"/>
        </w:rPr>
      </w:pPr>
      <w:r>
        <w:rPr>
          <w:rFonts w:ascii="Arial" w:cs="Arial" w:eastAsia="Arial" w:hAnsi="Arial"/>
          <w:sz w:val="20"/>
          <w:szCs w:val="20"/>
          <w:color w:val="231F20"/>
        </w:rPr>
        <w:t>shares issued upon the early exercise of stock options subject to repurchase to be participating securities because</w:t>
      </w:r>
    </w:p>
    <w:p>
      <w:pPr>
        <w:spacing w:after="0"/>
        <w:rPr>
          <w:sz w:val="20"/>
          <w:szCs w:val="20"/>
          <w:color w:val="auto"/>
        </w:rPr>
      </w:pPr>
      <w:r>
        <w:rPr>
          <w:rFonts w:ascii="Arial" w:cs="Arial" w:eastAsia="Arial" w:hAnsi="Arial"/>
          <w:sz w:val="20"/>
          <w:szCs w:val="20"/>
          <w:color w:val="231F20"/>
        </w:rPr>
        <w:t>holders of such shares have non-forfeitable dividend rights in the event a dividend is paid on common stock. The holders</w:t>
      </w:r>
    </w:p>
    <w:p>
      <w:pPr>
        <w:spacing w:after="0"/>
        <w:rPr>
          <w:sz w:val="20"/>
          <w:szCs w:val="20"/>
          <w:color w:val="auto"/>
        </w:rPr>
      </w:pPr>
      <w:r>
        <w:rPr>
          <w:rFonts w:ascii="Arial" w:cs="Arial" w:eastAsia="Arial" w:hAnsi="Arial"/>
          <w:sz w:val="20"/>
          <w:szCs w:val="20"/>
          <w:color w:val="231F20"/>
        </w:rPr>
        <w:t>of early exercised shares subject to repurchase do not have a contractual obligation to share in the Company’s losses. As</w:t>
      </w:r>
    </w:p>
    <w:p>
      <w:pPr>
        <w:spacing w:after="0"/>
        <w:rPr>
          <w:sz w:val="20"/>
          <w:szCs w:val="20"/>
          <w:color w:val="auto"/>
        </w:rPr>
      </w:pPr>
      <w:r>
        <w:rPr>
          <w:rFonts w:ascii="Arial" w:cs="Arial" w:eastAsia="Arial" w:hAnsi="Arial"/>
          <w:sz w:val="20"/>
          <w:szCs w:val="20"/>
          <w:color w:val="231F20"/>
        </w:rPr>
        <w:t>such, the net loss was attributed entirely to common stockholders. In June 2025, the Company entered into exchange</w:t>
      </w:r>
    </w:p>
    <w:p>
      <w:pPr>
        <w:spacing w:after="0"/>
        <w:rPr>
          <w:sz w:val="20"/>
          <w:szCs w:val="20"/>
          <w:color w:val="auto"/>
        </w:rPr>
      </w:pPr>
      <w:r>
        <w:rPr>
          <w:rFonts w:ascii="Arial" w:cs="Arial" w:eastAsia="Arial" w:hAnsi="Arial"/>
          <w:sz w:val="20"/>
          <w:szCs w:val="20"/>
          <w:color w:val="231F20"/>
        </w:rPr>
        <w:t>agreements with certain existing stockholders to exchange 2,952,000 shares of the Company’s common stock for pre-</w:t>
      </w:r>
    </w:p>
    <w:p>
      <w:pPr>
        <w:spacing w:after="0"/>
        <w:rPr>
          <w:sz w:val="20"/>
          <w:szCs w:val="20"/>
          <w:color w:val="auto"/>
        </w:rPr>
      </w:pPr>
      <w:r>
        <w:rPr>
          <w:rFonts w:ascii="Arial" w:cs="Arial" w:eastAsia="Arial" w:hAnsi="Arial"/>
          <w:sz w:val="20"/>
          <w:szCs w:val="20"/>
          <w:color w:val="231F20"/>
        </w:rPr>
        <w:t>funded warrants (the “Warrants”) for an equivalent number of shares of common stock at a nominal exercise price of</w:t>
      </w:r>
    </w:p>
    <w:p>
      <w:pPr>
        <w:spacing w:after="0"/>
        <w:rPr>
          <w:sz w:val="20"/>
          <w:szCs w:val="20"/>
          <w:color w:val="auto"/>
        </w:rPr>
      </w:pPr>
      <w:r>
        <w:rPr>
          <w:rFonts w:ascii="Arial" w:cs="Arial" w:eastAsia="Arial" w:hAnsi="Arial"/>
          <w:sz w:val="20"/>
          <w:szCs w:val="20"/>
          <w:color w:val="231F20"/>
        </w:rPr>
        <w:t>$0.00001 per share. The shares of common stock into which the Warrants may be exercised are considered outstanding</w:t>
      </w:r>
    </w:p>
    <w:p>
      <w:pPr>
        <w:spacing w:after="0"/>
        <w:rPr>
          <w:sz w:val="20"/>
          <w:szCs w:val="20"/>
          <w:color w:val="auto"/>
        </w:rPr>
      </w:pPr>
      <w:r>
        <w:rPr>
          <w:rFonts w:ascii="Arial" w:cs="Arial" w:eastAsia="Arial" w:hAnsi="Arial"/>
          <w:sz w:val="20"/>
          <w:szCs w:val="20"/>
          <w:color w:val="231F20"/>
        </w:rPr>
        <w:t>for the purposes of computing net loss per share because the shares may be issued for little or no consideration, they are</w:t>
      </w:r>
    </w:p>
    <w:p>
      <w:pPr>
        <w:spacing w:after="0"/>
        <w:rPr>
          <w:sz w:val="20"/>
          <w:szCs w:val="20"/>
          <w:color w:val="auto"/>
        </w:rPr>
      </w:pPr>
      <w:r>
        <w:rPr>
          <w:rFonts w:ascii="Arial" w:cs="Arial" w:eastAsia="Arial" w:hAnsi="Arial"/>
          <w:sz w:val="20"/>
          <w:szCs w:val="20"/>
          <w:color w:val="231F20"/>
        </w:rPr>
        <w:t>fully vested and the Warrants are immediately exercisable upon their issuance date. Because the Company has reported</w:t>
      </w:r>
    </w:p>
    <w:p>
      <w:pPr>
        <w:spacing w:after="0"/>
        <w:rPr>
          <w:sz w:val="20"/>
          <w:szCs w:val="20"/>
          <w:color w:val="auto"/>
        </w:rPr>
      </w:pPr>
      <w:r>
        <w:rPr>
          <w:rFonts w:ascii="Arial" w:cs="Arial" w:eastAsia="Arial" w:hAnsi="Arial"/>
          <w:sz w:val="20"/>
          <w:szCs w:val="20"/>
          <w:color w:val="231F20"/>
        </w:rPr>
        <w:t>a net loss for all periods presented, diluted net loss per share is the same as basic net loss per share for those periods</w:t>
      </w:r>
    </w:p>
    <w:p>
      <w:pPr>
        <w:spacing w:after="0"/>
        <w:rPr>
          <w:sz w:val="20"/>
          <w:szCs w:val="20"/>
          <w:color w:val="auto"/>
        </w:rPr>
      </w:pPr>
      <w:r>
        <w:rPr>
          <w:rFonts w:ascii="Arial" w:cs="Arial" w:eastAsia="Arial" w:hAnsi="Arial"/>
          <w:sz w:val="20"/>
          <w:szCs w:val="20"/>
          <w:color w:val="231F20"/>
        </w:rPr>
        <w:t>because the impact of potentially dilutive securities would be anti-dilutive.</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Restructuring Charges</w:t>
      </w:r>
    </w:p>
    <w:p>
      <w:pPr>
        <w:spacing w:after="0" w:line="116" w:lineRule="exact"/>
        <w:rPr>
          <w:sz w:val="20"/>
          <w:szCs w:val="20"/>
          <w:color w:val="auto"/>
        </w:rPr>
      </w:pPr>
    </w:p>
    <w:p>
      <w:pPr>
        <w:ind w:right="140" w:firstLine="490"/>
        <w:spacing w:after="0" w:line="262" w:lineRule="auto"/>
        <w:rPr>
          <w:sz w:val="20"/>
          <w:szCs w:val="20"/>
          <w:color w:val="auto"/>
        </w:rPr>
      </w:pPr>
      <w:r>
        <w:rPr>
          <w:rFonts w:ascii="Arial" w:cs="Arial" w:eastAsia="Arial" w:hAnsi="Arial"/>
          <w:sz w:val="19"/>
          <w:szCs w:val="19"/>
          <w:color w:val="231F20"/>
        </w:rPr>
        <w:t>Restructuring charges consist primarily of employee severance payments and other employee termination-related expenses. The Company records restructuring charges based on whether the termination benefits are provided under an on-going benefit arrangement or under a one-time benefit arrangement. The Company accounts for on-going benefit arrangements, such as those documented by employment agreements or a pre-existing severance policy, in accordance with ASC 712, Nonretirement Postemployment Benefits. Under ASC 712, liabilities for postemployment benefits are recorded at the time the obligations are probable of being incurred and can be reasonably estimated. The Company accounts for one-time employment benefit arrangements in accordance with ASC 420, Exit or Disposal Cost Obligations.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JOBS Act Accounting Election</w:t>
      </w:r>
    </w:p>
    <w:p>
      <w:pPr>
        <w:spacing w:after="0" w:line="116"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231F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The Company may take advantage of these provisions for up to five years (which is through March 2027), unless the Company ceases to be an emerging growth company at an earlier date. As a result, these financial statements may not be comparable to companies that comply with new or revised accounting pronouncements as of public company effective dates.</w:t>
      </w:r>
    </w:p>
    <w:p>
      <w:pPr>
        <w:sectPr>
          <w:pgSz w:w="11880" w:h="15480" w:orient="portrait"/>
          <w:cols w:equalWidth="0" w:num="1">
            <w:col w:w="10800"/>
          </w:cols>
          <w:pgMar w:left="540" w:top="75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F-12</w:t>
      </w:r>
    </w:p>
    <w:p>
      <w:pPr>
        <w:sectPr>
          <w:pgSz w:w="11880" w:h="15480" w:orient="portrait"/>
          <w:cols w:equalWidth="0" w:num="1">
            <w:col w:w="10800"/>
          </w:cols>
          <w:pgMar w:left="540" w:top="756" w:right="540" w:bottom="6"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Recently Adopted Accounting Pronouncements</w:t>
      </w:r>
    </w:p>
    <w:p>
      <w:pPr>
        <w:spacing w:after="0" w:line="116"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231F20"/>
        </w:rPr>
        <w:t>In August 2020, the FASB issued ASU 2020-06, Debt - Debt with Conversion and Other Options (Subtopic 470-20) and Derivatives and Hedging-Contracts in Entity’s Own Equity (Subtopic 815-40), Accounting for Convertible Instruments and Contracts in an Entity’s Own Equity (“ASU 2020-06”). ASU 2020-06 simplifies the accounting for convertible instruments by reducing the number of accounting models available for convertible debt instruments, replacing the treasury stock method with the if-converted method for calculation of diluted earnings per share, and removing certain settlement conditions that are required for equity contracts to qualify for the derivative scope exception. ASU 2020-06 was effective for annual periods beginning after December 15, 2023, but was not applicable to the Company at that time. The Company adopted ASU 2020-06 on June 17, 2025 using the modified retrospective method in connection with accounting for the pre-funded warrant exchange (See Note 8 – Equity, Issuance of Pre-Funded Warrants in Exchange for Common Stock). Adoption of this standard did not have an impact on the Company's financial statements or net loss per share amounts.</w:t>
      </w:r>
    </w:p>
    <w:p>
      <w:pPr>
        <w:spacing w:after="0" w:line="198" w:lineRule="exact"/>
        <w:rPr>
          <w:sz w:val="20"/>
          <w:szCs w:val="20"/>
          <w:color w:val="auto"/>
        </w:rPr>
      </w:pPr>
    </w:p>
    <w:p>
      <w:pPr>
        <w:ind w:right="160" w:firstLine="490"/>
        <w:spacing w:after="0" w:line="248" w:lineRule="auto"/>
        <w:rPr>
          <w:sz w:val="20"/>
          <w:szCs w:val="20"/>
          <w:color w:val="auto"/>
        </w:rPr>
      </w:pPr>
      <w:r>
        <w:rPr>
          <w:rFonts w:ascii="Arial" w:cs="Arial" w:eastAsia="Arial" w:hAnsi="Arial"/>
          <w:sz w:val="20"/>
          <w:szCs w:val="20"/>
          <w:color w:val="231F20"/>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adopted ASU 2023-09 for the year ended December 31, 2025, prospectively. Newly required disclosures have been included in Note 10 - Income Taxes.</w:t>
      </w:r>
    </w:p>
    <w:p>
      <w:pPr>
        <w:spacing w:after="0" w:line="194"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231F20"/>
        </w:rPr>
        <w:t>On July 4, 2025, the U.S. government enacted the One Big Beautiful Bill Act (the “OBBBA”), which includes several changes to U.S. federal income tax law, including the temporary and permanent extension of certain expiring provisions of the Tax Cuts and Jobs Act of 2017. Adoption of the relevant provisions of the OBBBA did not have a material impact on the Company's financial statements and related disclosures. The Company will continue to monitor the impact of the OBBBA in future periods.</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Recent Accounting Pronouncements Not Yet Adopted</w:t>
      </w:r>
    </w:p>
    <w:p>
      <w:pPr>
        <w:spacing w:after="0" w:line="116"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231F20"/>
        </w:rPr>
        <w:t>From time to time, new accounting pronouncements are issued by the FASB or other standard setting bodies and adopted by the Company as of the specified effective date. Unless otherwise noted, the Company believes that the impact of recently issued standards that are not yet effective will not have a material impact on its financial statements and disclosures. As an emerging growth company, it has been the Company's intention to take advantage of certain temporary exemptions from various reporting requirements, as well as taking advantage of additional transitional relief.</w:t>
      </w:r>
    </w:p>
    <w:p>
      <w:pPr>
        <w:spacing w:after="0" w:line="192"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231F20"/>
        </w:rPr>
        <w:t>In November 2024, the FASB issued ASU 2024-03, Income Statement—Reporting Comprehensive Income—Expense Disaggregation Disclosures (Subtopic 220-40): Disaggregation of Income Statement Expense</w:t>
      </w:r>
      <w:r>
        <w:rPr>
          <w:rFonts w:ascii="Arial" w:cs="Arial" w:eastAsia="Arial" w:hAnsi="Arial"/>
          <w:sz w:val="20"/>
          <w:szCs w:val="20"/>
          <w:i w:val="1"/>
          <w:iCs w:val="1"/>
          <w:color w:val="231F20"/>
        </w:rPr>
        <w:t>s</w:t>
      </w:r>
      <w:r>
        <w:rPr>
          <w:rFonts w:ascii="Arial" w:cs="Arial" w:eastAsia="Arial" w:hAnsi="Arial"/>
          <w:sz w:val="20"/>
          <w:szCs w:val="20"/>
          <w:color w:val="231F20"/>
        </w:rPr>
        <w:t xml:space="preserve"> (“ASU 2024-03”) and in January 2025, the FASB issued ASU No. 2025-01, Income Statement—Reporting Comprehensive Income—Expense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included in certain expense captions in the Statements of Operations, as well as qualitatively describe remaining amounts included in those captions. ASU 2024-03 will also require the Company to disclose both the amount and the Company’s definition of selling expenses. ASU 2024-03 is effective for annual periods beginning after December 15, 2026 and may be adopted on a prospective or retrospective basis. Early adoption is permitted. The Company is evaluating the impact of this standard on its financial statements and related disclosures.</w:t>
      </w:r>
    </w:p>
    <w:p>
      <w:pPr>
        <w:spacing w:after="0" w:line="198" w:lineRule="exact"/>
        <w:rPr>
          <w:sz w:val="20"/>
          <w:szCs w:val="20"/>
          <w:color w:val="auto"/>
        </w:rPr>
      </w:pPr>
    </w:p>
    <w:p>
      <w:pPr>
        <w:ind w:right="40" w:firstLine="490"/>
        <w:spacing w:after="0" w:line="267" w:lineRule="auto"/>
        <w:rPr>
          <w:sz w:val="20"/>
          <w:szCs w:val="20"/>
          <w:color w:val="auto"/>
        </w:rPr>
      </w:pPr>
      <w:r>
        <w:rPr>
          <w:rFonts w:ascii="Arial" w:cs="Arial" w:eastAsia="Arial" w:hAnsi="Arial"/>
          <w:sz w:val="19"/>
          <w:szCs w:val="19"/>
          <w:color w:val="231F20"/>
        </w:rPr>
        <w:t>In December 2025, the FASB issued ASU 2025-10, Government Grants (Topic 832) (“ASU 2025-10”), which adds guidance to ASC 832, Government Assistance, on the recognition, measurement, and presentation of government grants. ASU 2025-10 is effective for fiscal years, including interim reporting periods within those fiscal years, beginning after December 15, 2028 and may be adopted on a modified prospective or modified or full retrospective basis. Early adoption is permitted. The Company is evaluating the impact of this standard on its financial statements and related disclosures.</w:t>
      </w:r>
    </w:p>
    <w:p>
      <w:pPr>
        <w:spacing w:after="0" w:line="175"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231F20"/>
        </w:rPr>
        <w:t>In December 2025, the FASB issued ASU 2025-11, Interim Reporting (“ASU 2025-11”), which clarifies guidance on interim reporting. ASU 2025-11 is effective for interim periods within annual reporting periods beginning after December 15, 2027 and may be adopted on a prospective or retrospective basis. Early adoption is permitted. The Company is evaluating the impact of this standard on its financial statements and related disclosures.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F-13</w:t>
      </w:r>
    </w:p>
    <w:p>
      <w:pPr>
        <w:sectPr>
          <w:pgSz w:w="11880" w:h="15480" w:orient="portrait"/>
          <w:cols w:equalWidth="0" w:num="1">
            <w:col w:w="10800"/>
          </w:cols>
          <w:pgMar w:left="540" w:top="756" w:right="540" w:bottom="0" w:gutter="0" w:footer="0" w:header="0"/>
        </w:sectPr>
      </w:pPr>
    </w:p>
    <w:bookmarkStart w:id="104" w:name="page105"/>
    <w:bookmarkEnd w:id="104"/>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3. Fair Value Measurements</w:t>
      </w:r>
    </w:p>
    <w:p>
      <w:pPr>
        <w:spacing w:after="0" w:line="124"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231F20"/>
        </w:rPr>
        <w:t>The Company adopted ASU 2016-13 beginning January 1, 2023. The Company records certain financial assets and liabilities at fair value.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88" w:lineRule="exact"/>
        <w:rPr>
          <w:sz w:val="20"/>
          <w:szCs w:val="20"/>
          <w:color w:val="auto"/>
        </w:rPr>
      </w:pPr>
    </w:p>
    <w:p>
      <w:pPr>
        <w:ind w:left="980" w:hanging="490"/>
        <w:spacing w:after="0"/>
        <w:tabs>
          <w:tab w:leader="none" w:pos="980" w:val="left"/>
        </w:tabs>
        <w:numPr>
          <w:ilvl w:val="0"/>
          <w:numId w:val="55"/>
        </w:numPr>
        <w:rPr>
          <w:rFonts w:ascii="Arial" w:cs="Arial" w:eastAsia="Arial" w:hAnsi="Arial"/>
          <w:sz w:val="20"/>
          <w:szCs w:val="20"/>
          <w:color w:val="231F20"/>
        </w:rPr>
      </w:pPr>
      <w:r>
        <w:rPr>
          <w:rFonts w:ascii="Arial" w:cs="Arial" w:eastAsia="Arial" w:hAnsi="Arial"/>
          <w:sz w:val="20"/>
          <w:szCs w:val="20"/>
          <w:color w:val="231F20"/>
        </w:rPr>
        <w:t>Level 1: Inputs which include quoted prices in active markets for identical assets and liabilities.</w:t>
      </w:r>
    </w:p>
    <w:p>
      <w:pPr>
        <w:spacing w:after="0" w:line="133" w:lineRule="exact"/>
        <w:rPr>
          <w:rFonts w:ascii="Arial" w:cs="Arial" w:eastAsia="Arial" w:hAnsi="Arial"/>
          <w:sz w:val="20"/>
          <w:szCs w:val="20"/>
          <w:color w:val="231F20"/>
        </w:rPr>
      </w:pPr>
    </w:p>
    <w:p>
      <w:pPr>
        <w:ind w:left="980" w:right="240" w:hanging="490"/>
        <w:spacing w:after="0" w:line="261" w:lineRule="auto"/>
        <w:tabs>
          <w:tab w:leader="none" w:pos="980" w:val="left"/>
        </w:tabs>
        <w:numPr>
          <w:ilvl w:val="0"/>
          <w:numId w:val="55"/>
        </w:numPr>
        <w:rPr>
          <w:rFonts w:ascii="Arial" w:cs="Arial" w:eastAsia="Arial" w:hAnsi="Arial"/>
          <w:sz w:val="20"/>
          <w:szCs w:val="20"/>
          <w:color w:val="231F20"/>
        </w:rPr>
      </w:pPr>
      <w:r>
        <w:rPr>
          <w:rFonts w:ascii="Arial" w:cs="Arial" w:eastAsia="Arial" w:hAnsi="Arial"/>
          <w:sz w:val="20"/>
          <w:szCs w:val="20"/>
          <w:color w:val="231F20"/>
        </w:rPr>
        <w:t>Level 2: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rFonts w:ascii="Arial" w:cs="Arial" w:eastAsia="Arial" w:hAnsi="Arial"/>
          <w:sz w:val="20"/>
          <w:szCs w:val="20"/>
          <w:color w:val="231F20"/>
        </w:rPr>
      </w:pPr>
    </w:p>
    <w:p>
      <w:pPr>
        <w:ind w:left="980" w:right="80" w:hanging="490"/>
        <w:spacing w:after="0" w:line="282" w:lineRule="auto"/>
        <w:tabs>
          <w:tab w:leader="none" w:pos="980" w:val="left"/>
        </w:tabs>
        <w:numPr>
          <w:ilvl w:val="0"/>
          <w:numId w:val="55"/>
        </w:numPr>
        <w:rPr>
          <w:rFonts w:ascii="Arial" w:cs="Arial" w:eastAsia="Arial" w:hAnsi="Arial"/>
          <w:sz w:val="20"/>
          <w:szCs w:val="20"/>
          <w:color w:val="231F20"/>
        </w:rPr>
      </w:pPr>
      <w:r>
        <w:rPr>
          <w:rFonts w:ascii="Arial" w:cs="Arial" w:eastAsia="Arial" w:hAnsi="Arial"/>
          <w:sz w:val="20"/>
          <w:szCs w:val="20"/>
          <w:color w:val="231F20"/>
        </w:rPr>
        <w:t>Level 3: Unobservable inputs that are supported by little or no market activity and that are significant to the fair value of the assets or liabilities.</w:t>
      </w:r>
    </w:p>
    <w:p>
      <w:pPr>
        <w:spacing w:after="0" w:line="160" w:lineRule="exact"/>
        <w:rPr>
          <w:sz w:val="20"/>
          <w:szCs w:val="20"/>
          <w:color w:val="auto"/>
        </w:rPr>
      </w:pPr>
    </w:p>
    <w:p>
      <w:pPr>
        <w:jc w:val="both"/>
        <w:ind w:right="200" w:firstLine="490"/>
        <w:spacing w:after="0" w:line="261" w:lineRule="auto"/>
        <w:rPr>
          <w:sz w:val="20"/>
          <w:szCs w:val="20"/>
          <w:color w:val="auto"/>
        </w:rPr>
      </w:pPr>
      <w:r>
        <w:rPr>
          <w:rFonts w:ascii="Arial" w:cs="Arial" w:eastAsia="Arial" w:hAnsi="Arial"/>
          <w:sz w:val="20"/>
          <w:szCs w:val="20"/>
          <w:color w:val="231F20"/>
        </w:rPr>
        <w:t>The Company’s primary financial instruments include cash, cash equivalents and investments, prepaid expenses, accounts payable, and accrued liabilities. The carrying amounts of the Company’s financial instruments, other than cash equivalents and investments, approximate fair value due to their relatively short maturities.</w:t>
      </w:r>
    </w:p>
    <w:p>
      <w:pPr>
        <w:spacing w:after="0" w:line="180" w:lineRule="exact"/>
        <w:rPr>
          <w:sz w:val="20"/>
          <w:szCs w:val="20"/>
          <w:color w:val="auto"/>
        </w:rPr>
      </w:pPr>
    </w:p>
    <w:p>
      <w:pPr>
        <w:ind w:right="420" w:firstLine="490"/>
        <w:spacing w:after="0" w:line="282" w:lineRule="auto"/>
        <w:rPr>
          <w:sz w:val="20"/>
          <w:szCs w:val="20"/>
          <w:color w:val="auto"/>
        </w:rPr>
      </w:pPr>
      <w:r>
        <w:rPr>
          <w:rFonts w:ascii="Arial" w:cs="Arial" w:eastAsia="Arial" w:hAnsi="Arial"/>
          <w:sz w:val="20"/>
          <w:szCs w:val="20"/>
          <w:color w:val="231F20"/>
        </w:rPr>
        <w:t>The following table presents the Company’s financial assets, which consist of cash equivalents and investments classified as available-for-sale investments, that are measured at fair value on a recurring basis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gridSpan w:val="6"/>
          </w:tcPr>
          <w:p>
            <w:pPr>
              <w:jc w:val="center"/>
              <w:ind w:right="87"/>
              <w:spacing w:after="0"/>
              <w:rPr>
                <w:sz w:val="20"/>
                <w:szCs w:val="20"/>
                <w:color w:val="auto"/>
              </w:rPr>
            </w:pPr>
            <w:r>
              <w:rPr>
                <w:rFonts w:ascii="Arial" w:cs="Arial" w:eastAsia="Arial" w:hAnsi="Arial"/>
                <w:sz w:val="16"/>
                <w:szCs w:val="16"/>
                <w:b w:val="1"/>
                <w:bCs w:val="1"/>
                <w:color w:val="231F20"/>
                <w:w w:val="99"/>
              </w:rPr>
              <w:t>December 31, 2025</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r>
      <w:tr>
        <w:trPr>
          <w:trHeight w:val="174"/>
        </w:trPr>
        <w:tc>
          <w:tcPr>
            <w:tcW w:w="4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2"/>
              <w:spacing w:after="0" w:line="175" w:lineRule="exact"/>
              <w:rPr>
                <w:sz w:val="20"/>
                <w:szCs w:val="20"/>
                <w:color w:val="auto"/>
              </w:rPr>
            </w:pPr>
            <w:r>
              <w:rPr>
                <w:rFonts w:ascii="Arial" w:cs="Arial" w:eastAsia="Arial" w:hAnsi="Arial"/>
                <w:sz w:val="16"/>
                <w:szCs w:val="16"/>
                <w:b w:val="1"/>
                <w:bCs w:val="1"/>
                <w:color w:val="231F20"/>
              </w:rPr>
              <w:t>Amortized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
              <w:spacing w:after="0" w:line="175" w:lineRule="exact"/>
              <w:rPr>
                <w:sz w:val="20"/>
                <w:szCs w:val="20"/>
                <w:color w:val="auto"/>
              </w:rPr>
            </w:pPr>
            <w:r>
              <w:rPr>
                <w:rFonts w:ascii="Arial" w:cs="Arial" w:eastAsia="Arial" w:hAnsi="Arial"/>
                <w:sz w:val="16"/>
                <w:szCs w:val="16"/>
                <w:b w:val="1"/>
                <w:bCs w:val="1"/>
                <w:color w:val="231F20"/>
              </w:rPr>
              <w:t>Unrealized</w:t>
            </w:r>
          </w:p>
        </w:tc>
        <w:tc>
          <w:tcPr>
            <w:tcW w:w="140" w:type="dxa"/>
            <w:vAlign w:val="bottom"/>
          </w:tcPr>
          <w:p>
            <w:pPr>
              <w:spacing w:after="0"/>
              <w:rPr>
                <w:sz w:val="15"/>
                <w:szCs w:val="15"/>
                <w:color w:val="auto"/>
              </w:rPr>
            </w:pPr>
          </w:p>
        </w:tc>
        <w:tc>
          <w:tcPr>
            <w:tcW w:w="1100" w:type="dxa"/>
            <w:vAlign w:val="bottom"/>
            <w:gridSpan w:val="2"/>
          </w:tcPr>
          <w:p>
            <w:pPr>
              <w:jc w:val="right"/>
              <w:ind w:right="122"/>
              <w:spacing w:after="0" w:line="175" w:lineRule="exact"/>
              <w:rPr>
                <w:sz w:val="20"/>
                <w:szCs w:val="20"/>
                <w:color w:val="auto"/>
              </w:rPr>
            </w:pPr>
            <w:r>
              <w:rPr>
                <w:rFonts w:ascii="Arial" w:cs="Arial" w:eastAsia="Arial" w:hAnsi="Arial"/>
                <w:sz w:val="16"/>
                <w:szCs w:val="16"/>
                <w:b w:val="1"/>
                <w:bCs w:val="1"/>
                <w:color w:val="231F20"/>
              </w:rPr>
              <w:t>Unrealized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3"/>
              <w:spacing w:after="0" w:line="175" w:lineRule="exact"/>
              <w:rPr>
                <w:sz w:val="20"/>
                <w:szCs w:val="20"/>
                <w:color w:val="auto"/>
              </w:rPr>
            </w:pPr>
            <w:r>
              <w:rPr>
                <w:rFonts w:ascii="Arial" w:cs="Arial" w:eastAsia="Arial" w:hAnsi="Arial"/>
                <w:sz w:val="16"/>
                <w:szCs w:val="16"/>
                <w:b w:val="1"/>
                <w:bCs w:val="1"/>
                <w:color w:val="231F20"/>
                <w:w w:val="96"/>
              </w:rPr>
              <w:t>Estimated</w:t>
            </w:r>
          </w:p>
        </w:tc>
        <w:tc>
          <w:tcPr>
            <w:tcW w:w="80" w:type="dxa"/>
            <w:vAlign w:val="bottom"/>
          </w:tcPr>
          <w:p>
            <w:pPr>
              <w:spacing w:after="0"/>
              <w:rPr>
                <w:sz w:val="15"/>
                <w:szCs w:val="15"/>
                <w:color w:val="auto"/>
              </w:rPr>
            </w:pPr>
          </w:p>
        </w:tc>
      </w:tr>
      <w:tr>
        <w:trPr>
          <w:trHeight w:val="203"/>
        </w:trPr>
        <w:tc>
          <w:tcPr>
            <w:tcW w:w="4840" w:type="dxa"/>
            <w:vAlign w:val="bottom"/>
            <w:tcBorders>
              <w:bottom w:val="single" w:sz="8" w:color="EBECEC"/>
            </w:tcBorders>
          </w:tcPr>
          <w:p>
            <w:pPr>
              <w:spacing w:after="0"/>
              <w:rPr>
                <w:sz w:val="17"/>
                <w:szCs w:val="17"/>
                <w:color w:val="auto"/>
              </w:rPr>
            </w:pPr>
          </w:p>
        </w:tc>
        <w:tc>
          <w:tcPr>
            <w:tcW w:w="1060" w:type="dxa"/>
            <w:vAlign w:val="bottom"/>
            <w:tcBorders>
              <w:bottom w:val="single" w:sz="8" w:color="231F20"/>
            </w:tcBorders>
          </w:tcPr>
          <w:p>
            <w:pPr>
              <w:jc w:val="center"/>
              <w:spacing w:after="0"/>
              <w:rPr>
                <w:sz w:val="20"/>
                <w:szCs w:val="20"/>
                <w:color w:val="auto"/>
              </w:rPr>
            </w:pPr>
            <w:r>
              <w:rPr>
                <w:rFonts w:ascii="Arial" w:cs="Arial" w:eastAsia="Arial" w:hAnsi="Arial"/>
                <w:sz w:val="16"/>
                <w:szCs w:val="16"/>
                <w:b w:val="1"/>
                <w:bCs w:val="1"/>
                <w:color w:val="231F20"/>
                <w:w w:val="97"/>
              </w:rPr>
              <w:t>Level</w:t>
            </w:r>
          </w:p>
        </w:tc>
        <w:tc>
          <w:tcPr>
            <w:tcW w:w="120" w:type="dxa"/>
            <w:vAlign w:val="bottom"/>
            <w:tcBorders>
              <w:bottom w:val="single" w:sz="8" w:color="EBECEC"/>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42"/>
              <w:spacing w:after="0"/>
              <w:rPr>
                <w:sz w:val="20"/>
                <w:szCs w:val="20"/>
                <w:color w:val="auto"/>
              </w:rPr>
            </w:pPr>
            <w:r>
              <w:rPr>
                <w:rFonts w:ascii="Arial" w:cs="Arial" w:eastAsia="Arial" w:hAnsi="Arial"/>
                <w:sz w:val="16"/>
                <w:szCs w:val="16"/>
                <w:b w:val="1"/>
                <w:bCs w:val="1"/>
                <w:color w:val="231F20"/>
              </w:rPr>
              <w:t>Cost</w:t>
            </w:r>
          </w:p>
        </w:tc>
        <w:tc>
          <w:tcPr>
            <w:tcW w:w="100" w:type="dxa"/>
            <w:vAlign w:val="bottom"/>
            <w:tcBorders>
              <w:bottom w:val="single" w:sz="8" w:color="231F20"/>
            </w:tcBorders>
          </w:tcPr>
          <w:p>
            <w:pPr>
              <w:spacing w:after="0"/>
              <w:rPr>
                <w:sz w:val="17"/>
                <w:szCs w:val="17"/>
                <w:color w:val="auto"/>
              </w:rPr>
            </w:pPr>
          </w:p>
        </w:tc>
        <w:tc>
          <w:tcPr>
            <w:tcW w:w="120" w:type="dxa"/>
            <w:vAlign w:val="bottom"/>
            <w:tcBorders>
              <w:bottom w:val="single" w:sz="8" w:color="EBECEC"/>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center"/>
              <w:ind w:right="222"/>
              <w:spacing w:after="0"/>
              <w:rPr>
                <w:sz w:val="20"/>
                <w:szCs w:val="20"/>
                <w:color w:val="auto"/>
              </w:rPr>
            </w:pPr>
            <w:r>
              <w:rPr>
                <w:rFonts w:ascii="Arial" w:cs="Arial" w:eastAsia="Arial" w:hAnsi="Arial"/>
                <w:sz w:val="16"/>
                <w:szCs w:val="16"/>
                <w:b w:val="1"/>
                <w:bCs w:val="1"/>
                <w:color w:val="231F20"/>
              </w:rPr>
              <w:t>Gain</w:t>
            </w:r>
          </w:p>
        </w:tc>
        <w:tc>
          <w:tcPr>
            <w:tcW w:w="140" w:type="dxa"/>
            <w:vAlign w:val="bottom"/>
            <w:tcBorders>
              <w:bottom w:val="single" w:sz="8" w:color="EBEC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322"/>
              <w:spacing w:after="0"/>
              <w:rPr>
                <w:sz w:val="20"/>
                <w:szCs w:val="20"/>
                <w:color w:val="auto"/>
              </w:rPr>
            </w:pPr>
            <w:r>
              <w:rPr>
                <w:rFonts w:ascii="Arial" w:cs="Arial" w:eastAsia="Arial" w:hAnsi="Arial"/>
                <w:sz w:val="16"/>
                <w:szCs w:val="16"/>
                <w:b w:val="1"/>
                <w:bCs w:val="1"/>
                <w:color w:val="231F20"/>
              </w:rPr>
              <w:t>Loss</w:t>
            </w:r>
          </w:p>
        </w:tc>
        <w:tc>
          <w:tcPr>
            <w:tcW w:w="120" w:type="dxa"/>
            <w:vAlign w:val="bottom"/>
            <w:tcBorders>
              <w:bottom w:val="single" w:sz="8" w:color="EBEC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gridSpan w:val="2"/>
          </w:tcPr>
          <w:p>
            <w:pPr>
              <w:jc w:val="right"/>
              <w:ind w:right="200"/>
              <w:spacing w:after="0"/>
              <w:rPr>
                <w:sz w:val="20"/>
                <w:szCs w:val="20"/>
                <w:color w:val="auto"/>
              </w:rPr>
            </w:pPr>
            <w:r>
              <w:rPr>
                <w:rFonts w:ascii="Arial" w:cs="Arial" w:eastAsia="Arial" w:hAnsi="Arial"/>
                <w:sz w:val="16"/>
                <w:szCs w:val="16"/>
                <w:b w:val="1"/>
                <w:bCs w:val="1"/>
                <w:color w:val="231F20"/>
                <w:w w:val="96"/>
              </w:rPr>
              <w:t>Fair Value</w:t>
            </w:r>
          </w:p>
        </w:tc>
      </w:tr>
      <w:tr>
        <w:trPr>
          <w:trHeight w:val="239"/>
        </w:trPr>
        <w:tc>
          <w:tcPr>
            <w:tcW w:w="4840" w:type="dxa"/>
            <w:vAlign w:val="bottom"/>
            <w:shd w:val="clear" w:color="auto" w:fill="EBECEC"/>
          </w:tcPr>
          <w:p>
            <w:pPr>
              <w:spacing w:after="0"/>
              <w:rPr>
                <w:sz w:val="20"/>
                <w:szCs w:val="20"/>
                <w:color w:val="auto"/>
              </w:rPr>
            </w:pPr>
            <w:r>
              <w:rPr>
                <w:rFonts w:ascii="Arial" w:cs="Arial" w:eastAsia="Arial" w:hAnsi="Arial"/>
                <w:sz w:val="20"/>
                <w:szCs w:val="20"/>
                <w:color w:val="231F20"/>
              </w:rPr>
              <w:t>Cash equivalents:</w:t>
            </w:r>
          </w:p>
        </w:tc>
        <w:tc>
          <w:tcPr>
            <w:tcW w:w="106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c>
          <w:tcPr>
            <w:tcW w:w="80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c>
          <w:tcPr>
            <w:tcW w:w="880" w:type="dxa"/>
            <w:vAlign w:val="bottom"/>
            <w:shd w:val="clear" w:color="auto" w:fill="EBECEC"/>
          </w:tcPr>
          <w:p>
            <w:pPr>
              <w:spacing w:after="0"/>
              <w:rPr>
                <w:sz w:val="20"/>
                <w:szCs w:val="20"/>
                <w:color w:val="auto"/>
              </w:rPr>
            </w:pPr>
          </w:p>
        </w:tc>
        <w:tc>
          <w:tcPr>
            <w:tcW w:w="14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90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88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r>
      <w:tr>
        <w:trPr>
          <w:trHeight w:val="244"/>
        </w:trPr>
        <w:tc>
          <w:tcPr>
            <w:tcW w:w="4840" w:type="dxa"/>
            <w:vAlign w:val="bottom"/>
          </w:tcPr>
          <w:p>
            <w:pPr>
              <w:ind w:left="280"/>
              <w:spacing w:after="0"/>
              <w:rPr>
                <w:sz w:val="20"/>
                <w:szCs w:val="20"/>
                <w:color w:val="auto"/>
              </w:rPr>
            </w:pPr>
            <w:r>
              <w:rPr>
                <w:rFonts w:ascii="Arial" w:cs="Arial" w:eastAsia="Arial" w:hAnsi="Arial"/>
                <w:sz w:val="20"/>
                <w:szCs w:val="20"/>
                <w:color w:val="231F20"/>
              </w:rPr>
              <w:t>Money market funds</w:t>
            </w:r>
          </w:p>
        </w:tc>
        <w:tc>
          <w:tcPr>
            <w:tcW w:w="1060" w:type="dxa"/>
            <w:vAlign w:val="bottom"/>
          </w:tcPr>
          <w:p>
            <w:pPr>
              <w:jc w:val="center"/>
              <w:spacing w:after="0"/>
              <w:rPr>
                <w:sz w:val="20"/>
                <w:szCs w:val="20"/>
                <w:color w:val="auto"/>
              </w:rPr>
            </w:pPr>
            <w:r>
              <w:rPr>
                <w:rFonts w:ascii="Arial" w:cs="Arial" w:eastAsia="Arial" w:hAnsi="Arial"/>
                <w:sz w:val="20"/>
                <w:szCs w:val="20"/>
                <w:color w:val="231F20"/>
                <w:w w:val="99"/>
              </w:rPr>
              <w:t>Level 1</w:t>
            </w:r>
          </w:p>
        </w:tc>
        <w:tc>
          <w:tcPr>
            <w:tcW w:w="120" w:type="dxa"/>
            <w:vAlign w:val="bottom"/>
          </w:tcPr>
          <w:p>
            <w:pPr>
              <w:spacing w:after="0"/>
              <w:rPr>
                <w:sz w:val="21"/>
                <w:szCs w:val="21"/>
                <w:color w:val="auto"/>
              </w:rPr>
            </w:pPr>
          </w:p>
        </w:tc>
        <w:tc>
          <w:tcPr>
            <w:tcW w:w="220" w:type="dxa"/>
            <w:vAlign w:val="bottom"/>
          </w:tcPr>
          <w:p>
            <w:pPr>
              <w:jc w:val="right"/>
              <w:ind w:right="27"/>
              <w:spacing w:after="0"/>
              <w:rPr>
                <w:sz w:val="20"/>
                <w:szCs w:val="20"/>
                <w:color w:val="auto"/>
              </w:rPr>
            </w:pPr>
            <w:r>
              <w:rPr>
                <w:rFonts w:ascii="Arial" w:cs="Arial" w:eastAsia="Arial" w:hAnsi="Arial"/>
                <w:sz w:val="20"/>
                <w:szCs w:val="20"/>
                <w:color w:val="231F20"/>
                <w:w w:val="71"/>
              </w:rPr>
              <w:t>$</w:t>
            </w:r>
          </w:p>
        </w:tc>
        <w:tc>
          <w:tcPr>
            <w:tcW w:w="800" w:type="dxa"/>
            <w:vAlign w:val="bottom"/>
          </w:tcPr>
          <w:p>
            <w:pPr>
              <w:jc w:val="right"/>
              <w:spacing w:after="0"/>
              <w:rPr>
                <w:sz w:val="20"/>
                <w:szCs w:val="20"/>
                <w:color w:val="auto"/>
              </w:rPr>
            </w:pPr>
            <w:r>
              <w:rPr>
                <w:rFonts w:ascii="Arial" w:cs="Arial" w:eastAsia="Arial" w:hAnsi="Arial"/>
                <w:sz w:val="20"/>
                <w:szCs w:val="20"/>
                <w:color w:val="231F20"/>
              </w:rPr>
              <w:t>7,104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27"/>
              <w:spacing w:after="0"/>
              <w:rPr>
                <w:sz w:val="20"/>
                <w:szCs w:val="20"/>
                <w:color w:val="auto"/>
              </w:rPr>
            </w:pPr>
            <w:r>
              <w:rPr>
                <w:rFonts w:ascii="Arial" w:cs="Arial" w:eastAsia="Arial" w:hAnsi="Arial"/>
                <w:sz w:val="20"/>
                <w:szCs w:val="20"/>
                <w:color w:val="231F20"/>
                <w:w w:val="71"/>
              </w:rPr>
              <w:t>$</w:t>
            </w:r>
          </w:p>
        </w:tc>
        <w:tc>
          <w:tcPr>
            <w:tcW w:w="880" w:type="dxa"/>
            <w:vAlign w:val="bottom"/>
          </w:tcPr>
          <w:p>
            <w:pPr>
              <w:jc w:val="right"/>
              <w:ind w:right="22"/>
              <w:spacing w:after="0"/>
              <w:rPr>
                <w:sz w:val="20"/>
                <w:szCs w:val="20"/>
                <w:color w:val="auto"/>
              </w:rPr>
            </w:pPr>
            <w:r>
              <w:rPr>
                <w:rFonts w:ascii="Arial" w:cs="Arial" w:eastAsia="Arial" w:hAnsi="Arial"/>
                <w:sz w:val="20"/>
                <w:szCs w:val="20"/>
                <w:color w:val="231F20"/>
              </w:rPr>
              <w:t>—</w:t>
            </w:r>
          </w:p>
        </w:tc>
        <w:tc>
          <w:tcPr>
            <w:tcW w:w="140" w:type="dxa"/>
            <w:vAlign w:val="bottom"/>
          </w:tcPr>
          <w:p>
            <w:pPr>
              <w:spacing w:after="0"/>
              <w:rPr>
                <w:sz w:val="21"/>
                <w:szCs w:val="21"/>
                <w:color w:val="auto"/>
              </w:rPr>
            </w:pPr>
          </w:p>
        </w:tc>
        <w:tc>
          <w:tcPr>
            <w:tcW w:w="200" w:type="dxa"/>
            <w:vAlign w:val="bottom"/>
          </w:tcPr>
          <w:p>
            <w:pPr>
              <w:jc w:val="right"/>
              <w:ind w:right="7"/>
              <w:spacing w:after="0"/>
              <w:rPr>
                <w:sz w:val="20"/>
                <w:szCs w:val="20"/>
                <w:color w:val="auto"/>
              </w:rPr>
            </w:pPr>
            <w:r>
              <w:rPr>
                <w:rFonts w:ascii="Arial" w:cs="Arial" w:eastAsia="Arial" w:hAnsi="Arial"/>
                <w:sz w:val="20"/>
                <w:szCs w:val="20"/>
                <w:color w:val="231F20"/>
                <w:w w:val="71"/>
              </w:rPr>
              <w:t>$</w:t>
            </w:r>
          </w:p>
        </w:tc>
        <w:tc>
          <w:tcPr>
            <w:tcW w:w="900" w:type="dxa"/>
            <w:vAlign w:val="bottom"/>
          </w:tcPr>
          <w:p>
            <w:pPr>
              <w:jc w:val="right"/>
              <w:ind w:right="22"/>
              <w:spacing w:after="0"/>
              <w:rPr>
                <w:sz w:val="20"/>
                <w:szCs w:val="20"/>
                <w:color w:val="auto"/>
              </w:rPr>
            </w:pPr>
            <w:r>
              <w:rPr>
                <w:rFonts w:ascii="Arial" w:cs="Arial" w:eastAsia="Arial" w:hAnsi="Arial"/>
                <w:sz w:val="20"/>
                <w:szCs w:val="20"/>
                <w:color w:val="231F20"/>
              </w:rPr>
              <w:t>—</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231F20"/>
                <w:w w:val="89"/>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7,104</w:t>
            </w:r>
          </w:p>
        </w:tc>
        <w:tc>
          <w:tcPr>
            <w:tcW w:w="80" w:type="dxa"/>
            <w:vAlign w:val="bottom"/>
          </w:tcPr>
          <w:p>
            <w:pPr>
              <w:spacing w:after="0"/>
              <w:rPr>
                <w:sz w:val="21"/>
                <w:szCs w:val="21"/>
                <w:color w:val="auto"/>
              </w:rPr>
            </w:pPr>
          </w:p>
        </w:tc>
      </w:tr>
      <w:tr>
        <w:trPr>
          <w:trHeight w:val="244"/>
        </w:trPr>
        <w:tc>
          <w:tcPr>
            <w:tcW w:w="484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Commercial paper</w:t>
            </w:r>
          </w:p>
        </w:tc>
        <w:tc>
          <w:tcPr>
            <w:tcW w:w="1060" w:type="dxa"/>
            <w:vAlign w:val="bottom"/>
            <w:shd w:val="clear" w:color="auto" w:fill="EBECEC"/>
          </w:tcPr>
          <w:p>
            <w:pPr>
              <w:jc w:val="center"/>
              <w:spacing w:after="0"/>
              <w:rPr>
                <w:sz w:val="20"/>
                <w:szCs w:val="20"/>
                <w:color w:val="auto"/>
              </w:rPr>
            </w:pPr>
            <w:r>
              <w:rPr>
                <w:rFonts w:ascii="Arial" w:cs="Arial" w:eastAsia="Arial" w:hAnsi="Arial"/>
                <w:sz w:val="20"/>
                <w:szCs w:val="20"/>
                <w:color w:val="231F20"/>
                <w:w w:val="99"/>
              </w:rPr>
              <w:t>Level 2</w:t>
            </w:r>
          </w:p>
        </w:tc>
        <w:tc>
          <w:tcPr>
            <w:tcW w:w="1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8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547</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880" w:type="dxa"/>
            <w:vAlign w:val="bottom"/>
            <w:shd w:val="clear" w:color="auto" w:fill="EBECEC"/>
          </w:tcPr>
          <w:p>
            <w:pPr>
              <w:jc w:val="right"/>
              <w:ind w:right="22"/>
              <w:spacing w:after="0"/>
              <w:rPr>
                <w:sz w:val="20"/>
                <w:szCs w:val="20"/>
                <w:color w:val="auto"/>
              </w:rPr>
            </w:pPr>
            <w:r>
              <w:rPr>
                <w:rFonts w:ascii="Arial" w:cs="Arial" w:eastAsia="Arial" w:hAnsi="Arial"/>
                <w:sz w:val="20"/>
                <w:szCs w:val="20"/>
                <w:color w:val="231F20"/>
              </w:rPr>
              <w:t>—</w:t>
            </w:r>
          </w:p>
        </w:tc>
        <w:tc>
          <w:tcPr>
            <w:tcW w:w="14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900" w:type="dxa"/>
            <w:vAlign w:val="bottom"/>
            <w:shd w:val="clear" w:color="auto" w:fill="EBECEC"/>
          </w:tcPr>
          <w:p>
            <w:pPr>
              <w:jc w:val="right"/>
              <w:ind w:right="22"/>
              <w:spacing w:after="0"/>
              <w:rPr>
                <w:sz w:val="20"/>
                <w:szCs w:val="20"/>
                <w:color w:val="auto"/>
              </w:rPr>
            </w:pPr>
            <w:r>
              <w:rPr>
                <w:rFonts w:ascii="Arial" w:cs="Arial" w:eastAsia="Arial" w:hAnsi="Arial"/>
                <w:sz w:val="20"/>
                <w:szCs w:val="20"/>
                <w:color w:val="231F20"/>
              </w:rPr>
              <w:t>—</w:t>
            </w:r>
          </w:p>
        </w:tc>
        <w:tc>
          <w:tcPr>
            <w:tcW w:w="12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8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547</w:t>
            </w:r>
          </w:p>
        </w:tc>
        <w:tc>
          <w:tcPr>
            <w:tcW w:w="80" w:type="dxa"/>
            <w:vAlign w:val="bottom"/>
            <w:shd w:val="clear" w:color="auto" w:fill="EBECEC"/>
          </w:tcPr>
          <w:p>
            <w:pPr>
              <w:spacing w:after="0"/>
              <w:rPr>
                <w:sz w:val="21"/>
                <w:szCs w:val="21"/>
                <w:color w:val="auto"/>
              </w:rPr>
            </w:pPr>
          </w:p>
        </w:tc>
      </w:tr>
      <w:tr>
        <w:trPr>
          <w:trHeight w:val="244"/>
        </w:trPr>
        <w:tc>
          <w:tcPr>
            <w:tcW w:w="4840" w:type="dxa"/>
            <w:vAlign w:val="bottom"/>
          </w:tcPr>
          <w:p>
            <w:pPr>
              <w:spacing w:after="0"/>
              <w:rPr>
                <w:sz w:val="20"/>
                <w:szCs w:val="20"/>
                <w:color w:val="auto"/>
              </w:rPr>
            </w:pPr>
            <w:r>
              <w:rPr>
                <w:rFonts w:ascii="Arial" w:cs="Arial" w:eastAsia="Arial" w:hAnsi="Arial"/>
                <w:sz w:val="20"/>
                <w:szCs w:val="20"/>
                <w:color w:val="231F20"/>
              </w:rPr>
              <w:t>Short-term investments: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84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U.S. Treasury securities</w:t>
            </w:r>
          </w:p>
        </w:tc>
        <w:tc>
          <w:tcPr>
            <w:tcW w:w="1060" w:type="dxa"/>
            <w:vAlign w:val="bottom"/>
            <w:shd w:val="clear" w:color="auto" w:fill="EBECEC"/>
          </w:tcPr>
          <w:p>
            <w:pPr>
              <w:jc w:val="center"/>
              <w:spacing w:after="0"/>
              <w:rPr>
                <w:sz w:val="20"/>
                <w:szCs w:val="20"/>
                <w:color w:val="auto"/>
              </w:rPr>
            </w:pPr>
            <w:r>
              <w:rPr>
                <w:rFonts w:ascii="Arial" w:cs="Arial" w:eastAsia="Arial" w:hAnsi="Arial"/>
                <w:sz w:val="20"/>
                <w:szCs w:val="20"/>
                <w:color w:val="231F20"/>
                <w:w w:val="99"/>
              </w:rPr>
              <w:t>Level 1</w:t>
            </w:r>
          </w:p>
        </w:tc>
        <w:tc>
          <w:tcPr>
            <w:tcW w:w="1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8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22,792</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880" w:type="dxa"/>
            <w:vAlign w:val="bottom"/>
            <w:shd w:val="clear" w:color="auto" w:fill="EBECEC"/>
          </w:tcPr>
          <w:p>
            <w:pPr>
              <w:jc w:val="right"/>
              <w:ind w:right="22"/>
              <w:spacing w:after="0"/>
              <w:rPr>
                <w:sz w:val="20"/>
                <w:szCs w:val="20"/>
                <w:color w:val="auto"/>
              </w:rPr>
            </w:pPr>
            <w:r>
              <w:rPr>
                <w:rFonts w:ascii="Arial" w:cs="Arial" w:eastAsia="Arial" w:hAnsi="Arial"/>
                <w:sz w:val="20"/>
                <w:szCs w:val="20"/>
                <w:color w:val="231F20"/>
              </w:rPr>
              <w:t>49</w:t>
            </w:r>
          </w:p>
        </w:tc>
        <w:tc>
          <w:tcPr>
            <w:tcW w:w="14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900" w:type="dxa"/>
            <w:vAlign w:val="bottom"/>
            <w:shd w:val="clear" w:color="auto" w:fill="EBECEC"/>
          </w:tcPr>
          <w:p>
            <w:pPr>
              <w:jc w:val="right"/>
              <w:ind w:right="22"/>
              <w:spacing w:after="0"/>
              <w:rPr>
                <w:sz w:val="20"/>
                <w:szCs w:val="20"/>
                <w:color w:val="auto"/>
              </w:rPr>
            </w:pPr>
            <w:r>
              <w:rPr>
                <w:rFonts w:ascii="Arial" w:cs="Arial" w:eastAsia="Arial" w:hAnsi="Arial"/>
                <w:sz w:val="20"/>
                <w:szCs w:val="20"/>
                <w:color w:val="231F20"/>
              </w:rPr>
              <w:t>—</w:t>
            </w:r>
          </w:p>
        </w:tc>
        <w:tc>
          <w:tcPr>
            <w:tcW w:w="12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8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22,841</w:t>
            </w:r>
          </w:p>
        </w:tc>
        <w:tc>
          <w:tcPr>
            <w:tcW w:w="80" w:type="dxa"/>
            <w:vAlign w:val="bottom"/>
            <w:shd w:val="clear" w:color="auto" w:fill="EBECEC"/>
          </w:tcPr>
          <w:p>
            <w:pPr>
              <w:spacing w:after="0"/>
              <w:rPr>
                <w:sz w:val="21"/>
                <w:szCs w:val="21"/>
                <w:color w:val="auto"/>
              </w:rPr>
            </w:pPr>
          </w:p>
        </w:tc>
      </w:tr>
      <w:tr>
        <w:trPr>
          <w:trHeight w:val="244"/>
        </w:trPr>
        <w:tc>
          <w:tcPr>
            <w:tcW w:w="4840" w:type="dxa"/>
            <w:vAlign w:val="bottom"/>
          </w:tcPr>
          <w:p>
            <w:pPr>
              <w:ind w:left="280"/>
              <w:spacing w:after="0"/>
              <w:rPr>
                <w:sz w:val="20"/>
                <w:szCs w:val="20"/>
                <w:color w:val="auto"/>
              </w:rPr>
            </w:pPr>
            <w:r>
              <w:rPr>
                <w:rFonts w:ascii="Arial" w:cs="Arial" w:eastAsia="Arial" w:hAnsi="Arial"/>
                <w:sz w:val="20"/>
                <w:szCs w:val="20"/>
                <w:color w:val="231F20"/>
              </w:rPr>
              <w:t>U.S. Treasury securities</w:t>
            </w:r>
          </w:p>
        </w:tc>
        <w:tc>
          <w:tcPr>
            <w:tcW w:w="1060" w:type="dxa"/>
            <w:vAlign w:val="bottom"/>
          </w:tcPr>
          <w:p>
            <w:pPr>
              <w:jc w:val="center"/>
              <w:spacing w:after="0"/>
              <w:rPr>
                <w:sz w:val="20"/>
                <w:szCs w:val="20"/>
                <w:color w:val="auto"/>
              </w:rPr>
            </w:pPr>
            <w:r>
              <w:rPr>
                <w:rFonts w:ascii="Arial" w:cs="Arial" w:eastAsia="Arial" w:hAnsi="Arial"/>
                <w:sz w:val="20"/>
                <w:szCs w:val="20"/>
                <w:color w:val="231F20"/>
                <w:w w:val="99"/>
              </w:rPr>
              <w:t>Level 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3,956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Arial" w:cs="Arial" w:eastAsia="Arial" w:hAnsi="Arial"/>
                <w:sz w:val="20"/>
                <w:szCs w:val="20"/>
                <w:color w:val="231F20"/>
              </w:rPr>
              <w:t>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Arial" w:cs="Arial" w:eastAsia="Arial" w:hAnsi="Arial"/>
                <w:sz w:val="20"/>
                <w:szCs w:val="20"/>
                <w:color w:val="231F20"/>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3,964</w:t>
            </w:r>
          </w:p>
        </w:tc>
        <w:tc>
          <w:tcPr>
            <w:tcW w:w="80" w:type="dxa"/>
            <w:vAlign w:val="bottom"/>
          </w:tcPr>
          <w:p>
            <w:pPr>
              <w:spacing w:after="0"/>
              <w:rPr>
                <w:sz w:val="21"/>
                <w:szCs w:val="21"/>
                <w:color w:val="auto"/>
              </w:rPr>
            </w:pPr>
          </w:p>
        </w:tc>
      </w:tr>
      <w:tr>
        <w:trPr>
          <w:trHeight w:val="244"/>
        </w:trPr>
        <w:tc>
          <w:tcPr>
            <w:tcW w:w="484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Commercial paper</w:t>
            </w:r>
          </w:p>
        </w:tc>
        <w:tc>
          <w:tcPr>
            <w:tcW w:w="1060" w:type="dxa"/>
            <w:vAlign w:val="bottom"/>
            <w:shd w:val="clear" w:color="auto" w:fill="EBECEC"/>
          </w:tcPr>
          <w:p>
            <w:pPr>
              <w:jc w:val="center"/>
              <w:spacing w:after="0"/>
              <w:rPr>
                <w:sz w:val="20"/>
                <w:szCs w:val="20"/>
                <w:color w:val="auto"/>
              </w:rPr>
            </w:pPr>
            <w:r>
              <w:rPr>
                <w:rFonts w:ascii="Arial" w:cs="Arial" w:eastAsia="Arial" w:hAnsi="Arial"/>
                <w:sz w:val="20"/>
                <w:szCs w:val="20"/>
                <w:color w:val="231F20"/>
                <w:w w:val="99"/>
              </w:rPr>
              <w:t>Level 2</w:t>
            </w:r>
          </w:p>
        </w:tc>
        <w:tc>
          <w:tcPr>
            <w:tcW w:w="1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8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6,812</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880" w:type="dxa"/>
            <w:vAlign w:val="bottom"/>
            <w:shd w:val="clear" w:color="auto" w:fill="EBECEC"/>
          </w:tcPr>
          <w:p>
            <w:pPr>
              <w:jc w:val="right"/>
              <w:ind w:right="22"/>
              <w:spacing w:after="0"/>
              <w:rPr>
                <w:sz w:val="20"/>
                <w:szCs w:val="20"/>
                <w:color w:val="auto"/>
              </w:rPr>
            </w:pPr>
            <w:r>
              <w:rPr>
                <w:rFonts w:ascii="Arial" w:cs="Arial" w:eastAsia="Arial" w:hAnsi="Arial"/>
                <w:sz w:val="20"/>
                <w:szCs w:val="20"/>
                <w:color w:val="231F20"/>
              </w:rPr>
              <w:t>2</w:t>
            </w:r>
          </w:p>
        </w:tc>
        <w:tc>
          <w:tcPr>
            <w:tcW w:w="14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9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(4)</w:t>
            </w:r>
          </w:p>
        </w:tc>
        <w:tc>
          <w:tcPr>
            <w:tcW w:w="12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8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6,810</w:t>
            </w:r>
          </w:p>
        </w:tc>
        <w:tc>
          <w:tcPr>
            <w:tcW w:w="80" w:type="dxa"/>
            <w:vAlign w:val="bottom"/>
            <w:shd w:val="clear" w:color="auto" w:fill="EBECEC"/>
          </w:tcPr>
          <w:p>
            <w:pPr>
              <w:spacing w:after="0"/>
              <w:rPr>
                <w:sz w:val="21"/>
                <w:szCs w:val="21"/>
                <w:color w:val="auto"/>
              </w:rPr>
            </w:pPr>
          </w:p>
        </w:tc>
      </w:tr>
      <w:tr>
        <w:trPr>
          <w:trHeight w:val="244"/>
        </w:trPr>
        <w:tc>
          <w:tcPr>
            <w:tcW w:w="4840" w:type="dxa"/>
            <w:vAlign w:val="bottom"/>
          </w:tcPr>
          <w:p>
            <w:pPr>
              <w:ind w:left="280"/>
              <w:spacing w:after="0"/>
              <w:rPr>
                <w:sz w:val="20"/>
                <w:szCs w:val="20"/>
                <w:color w:val="auto"/>
              </w:rPr>
            </w:pPr>
            <w:r>
              <w:rPr>
                <w:rFonts w:ascii="Arial" w:cs="Arial" w:eastAsia="Arial" w:hAnsi="Arial"/>
                <w:sz w:val="20"/>
                <w:szCs w:val="20"/>
                <w:color w:val="231F20"/>
              </w:rPr>
              <w:t>U.S. Government agency securities</w:t>
            </w:r>
          </w:p>
        </w:tc>
        <w:tc>
          <w:tcPr>
            <w:tcW w:w="1060" w:type="dxa"/>
            <w:vAlign w:val="bottom"/>
          </w:tcPr>
          <w:p>
            <w:pPr>
              <w:jc w:val="center"/>
              <w:spacing w:after="0"/>
              <w:rPr>
                <w:sz w:val="20"/>
                <w:szCs w:val="20"/>
                <w:color w:val="auto"/>
              </w:rPr>
            </w:pPr>
            <w:r>
              <w:rPr>
                <w:rFonts w:ascii="Arial" w:cs="Arial" w:eastAsia="Arial" w:hAnsi="Arial"/>
                <w:sz w:val="20"/>
                <w:szCs w:val="20"/>
                <w:color w:val="231F20"/>
                <w:w w:val="99"/>
              </w:rPr>
              <w:t>Level 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487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Arial" w:cs="Arial" w:eastAsia="Arial" w:hAnsi="Arial"/>
                <w:sz w:val="20"/>
                <w:szCs w:val="20"/>
                <w:color w:val="231F20"/>
              </w:rPr>
              <w:t>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Arial" w:cs="Arial" w:eastAsia="Arial" w:hAnsi="Arial"/>
                <w:sz w:val="20"/>
                <w:szCs w:val="20"/>
                <w:color w:val="231F20"/>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488</w:t>
            </w:r>
          </w:p>
        </w:tc>
        <w:tc>
          <w:tcPr>
            <w:tcW w:w="80" w:type="dxa"/>
            <w:vAlign w:val="bottom"/>
          </w:tcPr>
          <w:p>
            <w:pPr>
              <w:spacing w:after="0"/>
              <w:rPr>
                <w:sz w:val="21"/>
                <w:szCs w:val="21"/>
                <w:color w:val="auto"/>
              </w:rPr>
            </w:pPr>
          </w:p>
        </w:tc>
      </w:tr>
      <w:tr>
        <w:trPr>
          <w:trHeight w:val="244"/>
        </w:trPr>
        <w:tc>
          <w:tcPr>
            <w:tcW w:w="484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Corporate debt securities</w:t>
            </w:r>
          </w:p>
        </w:tc>
        <w:tc>
          <w:tcPr>
            <w:tcW w:w="1060" w:type="dxa"/>
            <w:vAlign w:val="bottom"/>
            <w:shd w:val="clear" w:color="auto" w:fill="EBECEC"/>
          </w:tcPr>
          <w:p>
            <w:pPr>
              <w:jc w:val="center"/>
              <w:spacing w:after="0"/>
              <w:rPr>
                <w:sz w:val="20"/>
                <w:szCs w:val="20"/>
                <w:color w:val="auto"/>
              </w:rPr>
            </w:pPr>
            <w:r>
              <w:rPr>
                <w:rFonts w:ascii="Arial" w:cs="Arial" w:eastAsia="Arial" w:hAnsi="Arial"/>
                <w:sz w:val="20"/>
                <w:szCs w:val="20"/>
                <w:color w:val="231F20"/>
                <w:w w:val="99"/>
              </w:rPr>
              <w:t>Level 2</w:t>
            </w:r>
          </w:p>
        </w:tc>
        <w:tc>
          <w:tcPr>
            <w:tcW w:w="1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8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3,958</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880" w:type="dxa"/>
            <w:vAlign w:val="bottom"/>
            <w:shd w:val="clear" w:color="auto" w:fill="EBECEC"/>
          </w:tcPr>
          <w:p>
            <w:pPr>
              <w:jc w:val="right"/>
              <w:ind w:right="22"/>
              <w:spacing w:after="0"/>
              <w:rPr>
                <w:sz w:val="20"/>
                <w:szCs w:val="20"/>
                <w:color w:val="auto"/>
              </w:rPr>
            </w:pPr>
            <w:r>
              <w:rPr>
                <w:rFonts w:ascii="Arial" w:cs="Arial" w:eastAsia="Arial" w:hAnsi="Arial"/>
                <w:sz w:val="20"/>
                <w:szCs w:val="20"/>
                <w:color w:val="231F20"/>
              </w:rPr>
              <w:t>—</w:t>
            </w:r>
          </w:p>
        </w:tc>
        <w:tc>
          <w:tcPr>
            <w:tcW w:w="14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9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w:t>
            </w:r>
          </w:p>
        </w:tc>
        <w:tc>
          <w:tcPr>
            <w:tcW w:w="12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8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3,957</w:t>
            </w:r>
          </w:p>
        </w:tc>
        <w:tc>
          <w:tcPr>
            <w:tcW w:w="80" w:type="dxa"/>
            <w:vAlign w:val="bottom"/>
            <w:shd w:val="clear" w:color="auto" w:fill="EBECEC"/>
          </w:tcPr>
          <w:p>
            <w:pPr>
              <w:spacing w:after="0"/>
              <w:rPr>
                <w:sz w:val="21"/>
                <w:szCs w:val="21"/>
                <w:color w:val="auto"/>
              </w:rPr>
            </w:pPr>
          </w:p>
        </w:tc>
      </w:tr>
      <w:tr>
        <w:trPr>
          <w:trHeight w:val="244"/>
        </w:trPr>
        <w:tc>
          <w:tcPr>
            <w:tcW w:w="4840" w:type="dxa"/>
            <w:vAlign w:val="bottom"/>
          </w:tcPr>
          <w:p>
            <w:pPr>
              <w:spacing w:after="0"/>
              <w:rPr>
                <w:sz w:val="20"/>
                <w:szCs w:val="20"/>
                <w:color w:val="auto"/>
              </w:rPr>
            </w:pPr>
            <w:r>
              <w:rPr>
                <w:rFonts w:ascii="Arial" w:cs="Arial" w:eastAsia="Arial" w:hAnsi="Arial"/>
                <w:sz w:val="20"/>
                <w:szCs w:val="20"/>
                <w:color w:val="231F20"/>
              </w:rPr>
              <w:t>Long-term investments: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84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U.S. Treasury securities</w:t>
            </w:r>
          </w:p>
        </w:tc>
        <w:tc>
          <w:tcPr>
            <w:tcW w:w="1060" w:type="dxa"/>
            <w:vAlign w:val="bottom"/>
            <w:shd w:val="clear" w:color="auto" w:fill="EBECEC"/>
          </w:tcPr>
          <w:p>
            <w:pPr>
              <w:jc w:val="center"/>
              <w:spacing w:after="0"/>
              <w:rPr>
                <w:sz w:val="20"/>
                <w:szCs w:val="20"/>
                <w:color w:val="auto"/>
              </w:rPr>
            </w:pPr>
            <w:r>
              <w:rPr>
                <w:rFonts w:ascii="Arial" w:cs="Arial" w:eastAsia="Arial" w:hAnsi="Arial"/>
                <w:sz w:val="20"/>
                <w:szCs w:val="20"/>
                <w:color w:val="231F20"/>
                <w:w w:val="99"/>
              </w:rPr>
              <w:t>Level 1</w:t>
            </w:r>
          </w:p>
        </w:tc>
        <w:tc>
          <w:tcPr>
            <w:tcW w:w="1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8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1,506</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880" w:type="dxa"/>
            <w:vAlign w:val="bottom"/>
            <w:shd w:val="clear" w:color="auto" w:fill="EBECEC"/>
          </w:tcPr>
          <w:p>
            <w:pPr>
              <w:jc w:val="right"/>
              <w:ind w:right="22"/>
              <w:spacing w:after="0"/>
              <w:rPr>
                <w:sz w:val="20"/>
                <w:szCs w:val="20"/>
                <w:color w:val="auto"/>
              </w:rPr>
            </w:pPr>
            <w:r>
              <w:rPr>
                <w:rFonts w:ascii="Arial" w:cs="Arial" w:eastAsia="Arial" w:hAnsi="Arial"/>
                <w:sz w:val="20"/>
                <w:szCs w:val="20"/>
                <w:color w:val="231F20"/>
              </w:rPr>
              <w:t>2</w:t>
            </w:r>
          </w:p>
        </w:tc>
        <w:tc>
          <w:tcPr>
            <w:tcW w:w="14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900" w:type="dxa"/>
            <w:vAlign w:val="bottom"/>
            <w:shd w:val="clear" w:color="auto" w:fill="EBECEC"/>
          </w:tcPr>
          <w:p>
            <w:pPr>
              <w:jc w:val="right"/>
              <w:ind w:right="22"/>
              <w:spacing w:after="0"/>
              <w:rPr>
                <w:sz w:val="20"/>
                <w:szCs w:val="20"/>
                <w:color w:val="auto"/>
              </w:rPr>
            </w:pPr>
            <w:r>
              <w:rPr>
                <w:rFonts w:ascii="Arial" w:cs="Arial" w:eastAsia="Arial" w:hAnsi="Arial"/>
                <w:sz w:val="20"/>
                <w:szCs w:val="20"/>
                <w:color w:val="231F20"/>
              </w:rPr>
              <w:t>—</w:t>
            </w:r>
          </w:p>
        </w:tc>
        <w:tc>
          <w:tcPr>
            <w:tcW w:w="12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8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1,508</w:t>
            </w:r>
          </w:p>
        </w:tc>
        <w:tc>
          <w:tcPr>
            <w:tcW w:w="80" w:type="dxa"/>
            <w:vAlign w:val="bottom"/>
            <w:shd w:val="clear" w:color="auto" w:fill="EBECEC"/>
          </w:tcPr>
          <w:p>
            <w:pPr>
              <w:spacing w:after="0"/>
              <w:rPr>
                <w:sz w:val="21"/>
                <w:szCs w:val="21"/>
                <w:color w:val="auto"/>
              </w:rPr>
            </w:pPr>
          </w:p>
        </w:tc>
      </w:tr>
      <w:tr>
        <w:trPr>
          <w:trHeight w:val="244"/>
        </w:trPr>
        <w:tc>
          <w:tcPr>
            <w:tcW w:w="4840" w:type="dxa"/>
            <w:vAlign w:val="bottom"/>
            <w:tcBorders>
              <w:bottom w:val="single" w:sz="8" w:color="EBECEC"/>
            </w:tcBorders>
          </w:tcPr>
          <w:p>
            <w:pPr>
              <w:ind w:left="280"/>
              <w:spacing w:after="0"/>
              <w:rPr>
                <w:sz w:val="20"/>
                <w:szCs w:val="20"/>
                <w:color w:val="auto"/>
              </w:rPr>
            </w:pPr>
            <w:r>
              <w:rPr>
                <w:rFonts w:ascii="Arial" w:cs="Arial" w:eastAsia="Arial" w:hAnsi="Arial"/>
                <w:sz w:val="20"/>
                <w:szCs w:val="20"/>
                <w:color w:val="231F20"/>
              </w:rPr>
              <w:t>Corporate debt securities</w:t>
            </w:r>
          </w:p>
        </w:tc>
        <w:tc>
          <w:tcPr>
            <w:tcW w:w="1060" w:type="dxa"/>
            <w:vAlign w:val="bottom"/>
            <w:tcBorders>
              <w:bottom w:val="single" w:sz="8" w:color="EBECEC"/>
            </w:tcBorders>
          </w:tcPr>
          <w:p>
            <w:pPr>
              <w:jc w:val="center"/>
              <w:spacing w:after="0"/>
              <w:rPr>
                <w:sz w:val="20"/>
                <w:szCs w:val="20"/>
                <w:color w:val="auto"/>
              </w:rPr>
            </w:pPr>
            <w:r>
              <w:rPr>
                <w:rFonts w:ascii="Arial" w:cs="Arial" w:eastAsia="Arial" w:hAnsi="Arial"/>
                <w:sz w:val="20"/>
                <w:szCs w:val="20"/>
                <w:color w:val="231F20"/>
                <w:w w:val="99"/>
              </w:rPr>
              <w:t>Level 2</w:t>
            </w:r>
          </w:p>
        </w:tc>
        <w:tc>
          <w:tcPr>
            <w:tcW w:w="120" w:type="dxa"/>
            <w:vAlign w:val="bottom"/>
            <w:tcBorders>
              <w:bottom w:val="single" w:sz="8" w:color="EBECEC"/>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505</w:t>
            </w:r>
          </w:p>
        </w:tc>
        <w:tc>
          <w:tcPr>
            <w:tcW w:w="100" w:type="dxa"/>
            <w:vAlign w:val="bottom"/>
            <w:tcBorders>
              <w:bottom w:val="single" w:sz="8" w:color="231F20"/>
            </w:tcBorders>
          </w:tcPr>
          <w:p>
            <w:pPr>
              <w:spacing w:after="0"/>
              <w:rPr>
                <w:sz w:val="21"/>
                <w:szCs w:val="21"/>
                <w:color w:val="auto"/>
              </w:rPr>
            </w:pPr>
          </w:p>
        </w:tc>
        <w:tc>
          <w:tcPr>
            <w:tcW w:w="120" w:type="dxa"/>
            <w:vAlign w:val="bottom"/>
            <w:tcBorders>
              <w:bottom w:val="single" w:sz="8" w:color="EBECEC"/>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ind w:right="22"/>
              <w:spacing w:after="0"/>
              <w:rPr>
                <w:sz w:val="20"/>
                <w:szCs w:val="20"/>
                <w:color w:val="auto"/>
              </w:rPr>
            </w:pPr>
            <w:r>
              <w:rPr>
                <w:rFonts w:ascii="Arial" w:cs="Arial" w:eastAsia="Arial" w:hAnsi="Arial"/>
                <w:sz w:val="20"/>
                <w:szCs w:val="20"/>
                <w:color w:val="231F20"/>
              </w:rPr>
              <w:t>—</w:t>
            </w:r>
          </w:p>
        </w:tc>
        <w:tc>
          <w:tcPr>
            <w:tcW w:w="140" w:type="dxa"/>
            <w:vAlign w:val="bottom"/>
            <w:tcBorders>
              <w:bottom w:val="single" w:sz="8" w:color="EBECEC"/>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22"/>
              <w:spacing w:after="0"/>
              <w:rPr>
                <w:sz w:val="20"/>
                <w:szCs w:val="20"/>
                <w:color w:val="auto"/>
              </w:rPr>
            </w:pPr>
            <w:r>
              <w:rPr>
                <w:rFonts w:ascii="Arial" w:cs="Arial" w:eastAsia="Arial" w:hAnsi="Arial"/>
                <w:sz w:val="20"/>
                <w:szCs w:val="20"/>
                <w:color w:val="231F20"/>
              </w:rPr>
              <w:t>—</w:t>
            </w:r>
          </w:p>
        </w:tc>
        <w:tc>
          <w:tcPr>
            <w:tcW w:w="120" w:type="dxa"/>
            <w:vAlign w:val="bottom"/>
            <w:tcBorders>
              <w:bottom w:val="single" w:sz="8" w:color="EBEC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505</w:t>
            </w:r>
          </w:p>
        </w:tc>
        <w:tc>
          <w:tcPr>
            <w:tcW w:w="80" w:type="dxa"/>
            <w:vAlign w:val="bottom"/>
            <w:tcBorders>
              <w:bottom w:val="single" w:sz="8" w:color="231F20"/>
            </w:tcBorders>
          </w:tcPr>
          <w:p>
            <w:pPr>
              <w:spacing w:after="0"/>
              <w:rPr>
                <w:sz w:val="21"/>
                <w:szCs w:val="21"/>
                <w:color w:val="auto"/>
              </w:rPr>
            </w:pPr>
          </w:p>
        </w:tc>
      </w:tr>
      <w:tr>
        <w:trPr>
          <w:trHeight w:val="239"/>
        </w:trPr>
        <w:tc>
          <w:tcPr>
            <w:tcW w:w="4840" w:type="dxa"/>
            <w:vAlign w:val="bottom"/>
            <w:shd w:val="clear" w:color="auto" w:fill="EBECEC"/>
          </w:tcPr>
          <w:p>
            <w:pPr>
              <w:spacing w:after="0"/>
              <w:rPr>
                <w:sz w:val="20"/>
                <w:szCs w:val="20"/>
                <w:color w:val="auto"/>
              </w:rPr>
            </w:pPr>
            <w:r>
              <w:rPr>
                <w:rFonts w:ascii="Arial" w:cs="Arial" w:eastAsia="Arial" w:hAnsi="Arial"/>
                <w:sz w:val="20"/>
                <w:szCs w:val="20"/>
                <w:color w:val="231F20"/>
              </w:rPr>
              <w:t>Total</w:t>
            </w:r>
          </w:p>
        </w:tc>
        <w:tc>
          <w:tcPr>
            <w:tcW w:w="106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220" w:type="dxa"/>
            <w:vAlign w:val="bottom"/>
            <w:tcBorders>
              <w:bottom w:val="single" w:sz="8" w:color="231F20"/>
            </w:tcBorders>
            <w:shd w:val="clear" w:color="auto" w:fill="EBECEC"/>
          </w:tcPr>
          <w:p>
            <w:pPr>
              <w:jc w:val="right"/>
              <w:ind w:right="27"/>
              <w:spacing w:after="0"/>
              <w:rPr>
                <w:sz w:val="20"/>
                <w:szCs w:val="20"/>
                <w:color w:val="auto"/>
              </w:rPr>
            </w:pPr>
            <w:r>
              <w:rPr>
                <w:rFonts w:ascii="Arial" w:cs="Arial" w:eastAsia="Arial" w:hAnsi="Arial"/>
                <w:sz w:val="20"/>
                <w:szCs w:val="20"/>
                <w:color w:val="231F20"/>
                <w:w w:val="71"/>
                <w:shd w:val="clear" w:color="auto" w:fill="EBECEC"/>
              </w:rPr>
              <w:t>$</w:t>
            </w:r>
          </w:p>
        </w:tc>
        <w:tc>
          <w:tcPr>
            <w:tcW w:w="80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shd w:val="clear" w:color="auto" w:fill="EBECEC"/>
              </w:rPr>
              <w:t>47,667</w:t>
            </w:r>
          </w:p>
        </w:tc>
        <w:tc>
          <w:tcPr>
            <w:tcW w:w="100" w:type="dxa"/>
            <w:vAlign w:val="bottom"/>
            <w:tcBorders>
              <w:bottom w:val="single" w:sz="8" w:color="231F20"/>
            </w:tcBorders>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220" w:type="dxa"/>
            <w:vAlign w:val="bottom"/>
            <w:tcBorders>
              <w:bottom w:val="single" w:sz="8" w:color="231F20"/>
            </w:tcBorders>
            <w:shd w:val="clear" w:color="auto" w:fill="EBECEC"/>
          </w:tcPr>
          <w:p>
            <w:pPr>
              <w:jc w:val="right"/>
              <w:ind w:right="27"/>
              <w:spacing w:after="0"/>
              <w:rPr>
                <w:sz w:val="20"/>
                <w:szCs w:val="20"/>
                <w:color w:val="auto"/>
              </w:rPr>
            </w:pPr>
            <w:r>
              <w:rPr>
                <w:rFonts w:ascii="Arial" w:cs="Arial" w:eastAsia="Arial" w:hAnsi="Arial"/>
                <w:sz w:val="20"/>
                <w:szCs w:val="20"/>
                <w:color w:val="231F20"/>
                <w:w w:val="71"/>
              </w:rPr>
              <w:t>$</w:t>
            </w:r>
          </w:p>
        </w:tc>
        <w:tc>
          <w:tcPr>
            <w:tcW w:w="880" w:type="dxa"/>
            <w:vAlign w:val="bottom"/>
            <w:tcBorders>
              <w:bottom w:val="single" w:sz="8" w:color="231F20"/>
            </w:tcBorders>
            <w:shd w:val="clear" w:color="auto" w:fill="EBECEC"/>
          </w:tcPr>
          <w:p>
            <w:pPr>
              <w:jc w:val="right"/>
              <w:ind w:right="22"/>
              <w:spacing w:after="0"/>
              <w:rPr>
                <w:sz w:val="20"/>
                <w:szCs w:val="20"/>
                <w:color w:val="auto"/>
              </w:rPr>
            </w:pPr>
            <w:r>
              <w:rPr>
                <w:rFonts w:ascii="Arial" w:cs="Arial" w:eastAsia="Arial" w:hAnsi="Arial"/>
                <w:sz w:val="20"/>
                <w:szCs w:val="20"/>
                <w:color w:val="231F20"/>
              </w:rPr>
              <w:t>62</w:t>
            </w:r>
          </w:p>
        </w:tc>
        <w:tc>
          <w:tcPr>
            <w:tcW w:w="140" w:type="dxa"/>
            <w:vAlign w:val="bottom"/>
            <w:shd w:val="clear" w:color="auto" w:fill="EBECEC"/>
          </w:tcPr>
          <w:p>
            <w:pPr>
              <w:spacing w:after="0"/>
              <w:rPr>
                <w:sz w:val="20"/>
                <w:szCs w:val="20"/>
                <w:color w:val="auto"/>
              </w:rPr>
            </w:pPr>
          </w:p>
        </w:tc>
        <w:tc>
          <w:tcPr>
            <w:tcW w:w="200" w:type="dxa"/>
            <w:vAlign w:val="bottom"/>
            <w:tcBorders>
              <w:bottom w:val="single" w:sz="8" w:color="231F20"/>
            </w:tcBorders>
            <w:shd w:val="clear" w:color="auto" w:fill="EBECEC"/>
          </w:tcPr>
          <w:p>
            <w:pPr>
              <w:jc w:val="right"/>
              <w:ind w:right="7"/>
              <w:spacing w:after="0"/>
              <w:rPr>
                <w:sz w:val="20"/>
                <w:szCs w:val="20"/>
                <w:color w:val="auto"/>
              </w:rPr>
            </w:pPr>
            <w:r>
              <w:rPr>
                <w:rFonts w:ascii="Arial" w:cs="Arial" w:eastAsia="Arial" w:hAnsi="Arial"/>
                <w:sz w:val="20"/>
                <w:szCs w:val="20"/>
                <w:color w:val="231F20"/>
                <w:w w:val="71"/>
              </w:rPr>
              <w:t>$</w:t>
            </w:r>
          </w:p>
        </w:tc>
        <w:tc>
          <w:tcPr>
            <w:tcW w:w="90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(5)</w:t>
            </w:r>
          </w:p>
        </w:tc>
        <w:tc>
          <w:tcPr>
            <w:tcW w:w="120" w:type="dxa"/>
            <w:vAlign w:val="bottom"/>
            <w:shd w:val="clear" w:color="auto" w:fill="EBECEC"/>
          </w:tcPr>
          <w:p>
            <w:pPr>
              <w:spacing w:after="0"/>
              <w:rPr>
                <w:sz w:val="20"/>
                <w:szCs w:val="20"/>
                <w:color w:val="auto"/>
              </w:rPr>
            </w:pPr>
          </w:p>
        </w:tc>
        <w:tc>
          <w:tcPr>
            <w:tcW w:w="12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w w:val="89"/>
              </w:rPr>
              <w:t>$</w:t>
            </w:r>
          </w:p>
        </w:tc>
        <w:tc>
          <w:tcPr>
            <w:tcW w:w="88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47,724</w:t>
            </w:r>
          </w:p>
        </w:tc>
        <w:tc>
          <w:tcPr>
            <w:tcW w:w="80" w:type="dxa"/>
            <w:vAlign w:val="bottom"/>
            <w:tcBorders>
              <w:bottom w:val="single" w:sz="8" w:color="231F20"/>
            </w:tcBorders>
            <w:shd w:val="clear" w:color="auto" w:fill="EBECEC"/>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-2327910</wp:posOffset>
            </wp:positionV>
            <wp:extent cx="377952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extLst>
                    </a:blip>
                    <a:srcRect/>
                    <a:stretch>
                      <a:fillRect/>
                    </a:stretch>
                  </pic:blipFill>
                  <pic:spPr bwMode="auto">
                    <a:xfrm>
                      <a:off x="0" y="0"/>
                      <a:ext cx="3779520" cy="38100"/>
                    </a:xfrm>
                    <a:prstGeom prst="rect">
                      <a:avLst/>
                    </a:prstGeom>
                    <a:noFill/>
                  </pic:spPr>
                </pic:pic>
              </a:graphicData>
            </a:graphic>
          </wp:anchor>
        </w:drawing>
      </w:r>
    </w:p>
    <w:p>
      <w:pPr>
        <w:sectPr>
          <w:pgSz w:w="11880" w:h="15480" w:orient="portrait"/>
          <w:cols w:equalWidth="0" w:num="1">
            <w:col w:w="10800"/>
          </w:cols>
          <w:pgMar w:left="540" w:top="75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F-14</w:t>
      </w:r>
    </w:p>
    <w:p>
      <w:pPr>
        <w:sectPr>
          <w:pgSz w:w="11880" w:h="15480" w:orient="portrait"/>
          <w:cols w:equalWidth="0" w:num="1">
            <w:col w:w="10800"/>
          </w:cols>
          <w:pgMar w:left="540" w:top="756" w:right="540" w:bottom="6"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gridSpan w:val="6"/>
          </w:tcPr>
          <w:p>
            <w:pPr>
              <w:jc w:val="center"/>
              <w:ind w:right="67"/>
              <w:spacing w:after="0"/>
              <w:rPr>
                <w:sz w:val="20"/>
                <w:szCs w:val="20"/>
                <w:color w:val="auto"/>
              </w:rPr>
            </w:pPr>
            <w:r>
              <w:rPr>
                <w:rFonts w:ascii="Arial" w:cs="Arial" w:eastAsia="Arial" w:hAnsi="Arial"/>
                <w:sz w:val="16"/>
                <w:szCs w:val="16"/>
                <w:b w:val="1"/>
                <w:bCs w:val="1"/>
                <w:color w:val="231F20"/>
                <w:w w:val="99"/>
              </w:rPr>
              <w:t>December 31, 2024</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r>
      <w:tr>
        <w:trPr>
          <w:trHeight w:val="174"/>
        </w:trPr>
        <w:tc>
          <w:tcPr>
            <w:tcW w:w="4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43"/>
              <w:spacing w:after="0" w:line="175" w:lineRule="exact"/>
              <w:rPr>
                <w:sz w:val="20"/>
                <w:szCs w:val="20"/>
                <w:color w:val="auto"/>
              </w:rPr>
            </w:pPr>
            <w:r>
              <w:rPr>
                <w:rFonts w:ascii="Arial" w:cs="Arial" w:eastAsia="Arial" w:hAnsi="Arial"/>
                <w:sz w:val="16"/>
                <w:szCs w:val="16"/>
                <w:b w:val="1"/>
                <w:bCs w:val="1"/>
                <w:color w:val="231F20"/>
              </w:rPr>
              <w:t>Amortized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
              <w:spacing w:after="0" w:line="175" w:lineRule="exact"/>
              <w:rPr>
                <w:sz w:val="20"/>
                <w:szCs w:val="20"/>
                <w:color w:val="auto"/>
              </w:rPr>
            </w:pPr>
            <w:r>
              <w:rPr>
                <w:rFonts w:ascii="Arial" w:cs="Arial" w:eastAsia="Arial" w:hAnsi="Arial"/>
                <w:sz w:val="16"/>
                <w:szCs w:val="16"/>
                <w:b w:val="1"/>
                <w:bCs w:val="1"/>
                <w:color w:val="231F20"/>
              </w:rPr>
              <w:t>Unrealized</w:t>
            </w:r>
          </w:p>
        </w:tc>
        <w:tc>
          <w:tcPr>
            <w:tcW w:w="120" w:type="dxa"/>
            <w:vAlign w:val="bottom"/>
          </w:tcPr>
          <w:p>
            <w:pPr>
              <w:spacing w:after="0"/>
              <w:rPr>
                <w:sz w:val="15"/>
                <w:szCs w:val="15"/>
                <w:color w:val="auto"/>
              </w:rPr>
            </w:pPr>
          </w:p>
        </w:tc>
        <w:tc>
          <w:tcPr>
            <w:tcW w:w="1100" w:type="dxa"/>
            <w:vAlign w:val="bottom"/>
            <w:gridSpan w:val="2"/>
          </w:tcPr>
          <w:p>
            <w:pPr>
              <w:jc w:val="right"/>
              <w:ind w:right="103"/>
              <w:spacing w:after="0" w:line="175" w:lineRule="exact"/>
              <w:rPr>
                <w:sz w:val="20"/>
                <w:szCs w:val="20"/>
                <w:color w:val="auto"/>
              </w:rPr>
            </w:pPr>
            <w:r>
              <w:rPr>
                <w:rFonts w:ascii="Arial" w:cs="Arial" w:eastAsia="Arial" w:hAnsi="Arial"/>
                <w:sz w:val="16"/>
                <w:szCs w:val="16"/>
                <w:b w:val="1"/>
                <w:bCs w:val="1"/>
                <w:color w:val="231F20"/>
              </w:rPr>
              <w:t>Unrealized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4"/>
              <w:spacing w:after="0" w:line="175" w:lineRule="exact"/>
              <w:rPr>
                <w:sz w:val="20"/>
                <w:szCs w:val="20"/>
                <w:color w:val="auto"/>
              </w:rPr>
            </w:pPr>
            <w:r>
              <w:rPr>
                <w:rFonts w:ascii="Arial" w:cs="Arial" w:eastAsia="Arial" w:hAnsi="Arial"/>
                <w:sz w:val="16"/>
                <w:szCs w:val="16"/>
                <w:b w:val="1"/>
                <w:bCs w:val="1"/>
                <w:color w:val="231F20"/>
                <w:w w:val="96"/>
              </w:rPr>
              <w:t>Estimated</w:t>
            </w:r>
          </w:p>
        </w:tc>
        <w:tc>
          <w:tcPr>
            <w:tcW w:w="80" w:type="dxa"/>
            <w:vAlign w:val="bottom"/>
          </w:tcPr>
          <w:p>
            <w:pPr>
              <w:spacing w:after="0"/>
              <w:rPr>
                <w:sz w:val="15"/>
                <w:szCs w:val="15"/>
                <w:color w:val="auto"/>
              </w:rPr>
            </w:pPr>
          </w:p>
        </w:tc>
      </w:tr>
      <w:tr>
        <w:trPr>
          <w:trHeight w:val="203"/>
        </w:trPr>
        <w:tc>
          <w:tcPr>
            <w:tcW w:w="4860" w:type="dxa"/>
            <w:vAlign w:val="bottom"/>
            <w:tcBorders>
              <w:bottom w:val="single" w:sz="8" w:color="EBECEC"/>
            </w:tcBorders>
          </w:tcPr>
          <w:p>
            <w:pPr>
              <w:spacing w:after="0"/>
              <w:rPr>
                <w:sz w:val="17"/>
                <w:szCs w:val="17"/>
                <w:color w:val="auto"/>
              </w:rPr>
            </w:pPr>
          </w:p>
        </w:tc>
        <w:tc>
          <w:tcPr>
            <w:tcW w:w="1060" w:type="dxa"/>
            <w:vAlign w:val="bottom"/>
            <w:tcBorders>
              <w:bottom w:val="single" w:sz="8" w:color="231F20"/>
            </w:tcBorders>
          </w:tcPr>
          <w:p>
            <w:pPr>
              <w:jc w:val="center"/>
              <w:spacing w:after="0"/>
              <w:rPr>
                <w:sz w:val="20"/>
                <w:szCs w:val="20"/>
                <w:color w:val="auto"/>
              </w:rPr>
            </w:pPr>
            <w:r>
              <w:rPr>
                <w:rFonts w:ascii="Arial" w:cs="Arial" w:eastAsia="Arial" w:hAnsi="Arial"/>
                <w:sz w:val="16"/>
                <w:szCs w:val="16"/>
                <w:b w:val="1"/>
                <w:bCs w:val="1"/>
                <w:color w:val="231F20"/>
              </w:rPr>
              <w:t>Level</w:t>
            </w:r>
          </w:p>
        </w:tc>
        <w:tc>
          <w:tcPr>
            <w:tcW w:w="120" w:type="dxa"/>
            <w:vAlign w:val="bottom"/>
            <w:tcBorders>
              <w:bottom w:val="single" w:sz="8" w:color="EBECEC"/>
            </w:tcBorders>
          </w:tcPr>
          <w:p>
            <w:pPr>
              <w:spacing w:after="0"/>
              <w:rPr>
                <w:sz w:val="17"/>
                <w:szCs w:val="17"/>
                <w:color w:val="auto"/>
              </w:rPr>
            </w:pPr>
          </w:p>
        </w:tc>
        <w:tc>
          <w:tcPr>
            <w:tcW w:w="20" w:type="dxa"/>
            <w:vAlign w:val="bottom"/>
            <w:tcBorders>
              <w:bottom w:val="single" w:sz="8" w:color="EBEC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43"/>
              <w:spacing w:after="0"/>
              <w:rPr>
                <w:sz w:val="20"/>
                <w:szCs w:val="20"/>
                <w:color w:val="auto"/>
              </w:rPr>
            </w:pPr>
            <w:r>
              <w:rPr>
                <w:rFonts w:ascii="Arial" w:cs="Arial" w:eastAsia="Arial" w:hAnsi="Arial"/>
                <w:sz w:val="16"/>
                <w:szCs w:val="16"/>
                <w:b w:val="1"/>
                <w:bCs w:val="1"/>
                <w:color w:val="231F20"/>
              </w:rPr>
              <w:t>Cost</w:t>
            </w:r>
          </w:p>
        </w:tc>
        <w:tc>
          <w:tcPr>
            <w:tcW w:w="100" w:type="dxa"/>
            <w:vAlign w:val="bottom"/>
            <w:tcBorders>
              <w:bottom w:val="single" w:sz="8" w:color="231F20"/>
            </w:tcBorders>
          </w:tcPr>
          <w:p>
            <w:pPr>
              <w:spacing w:after="0"/>
              <w:rPr>
                <w:sz w:val="17"/>
                <w:szCs w:val="17"/>
                <w:color w:val="auto"/>
              </w:rPr>
            </w:pPr>
          </w:p>
        </w:tc>
        <w:tc>
          <w:tcPr>
            <w:tcW w:w="100" w:type="dxa"/>
            <w:vAlign w:val="bottom"/>
            <w:tcBorders>
              <w:bottom w:val="single" w:sz="8" w:color="EBECEC"/>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center"/>
              <w:ind w:right="243"/>
              <w:spacing w:after="0"/>
              <w:rPr>
                <w:sz w:val="20"/>
                <w:szCs w:val="20"/>
                <w:color w:val="auto"/>
              </w:rPr>
            </w:pPr>
            <w:r>
              <w:rPr>
                <w:rFonts w:ascii="Arial" w:cs="Arial" w:eastAsia="Arial" w:hAnsi="Arial"/>
                <w:sz w:val="16"/>
                <w:szCs w:val="16"/>
                <w:b w:val="1"/>
                <w:bCs w:val="1"/>
                <w:color w:val="231F20"/>
              </w:rPr>
              <w:t>Gain</w:t>
            </w:r>
          </w:p>
        </w:tc>
        <w:tc>
          <w:tcPr>
            <w:tcW w:w="120" w:type="dxa"/>
            <w:vAlign w:val="bottom"/>
            <w:tcBorders>
              <w:bottom w:val="single" w:sz="8" w:color="EBEC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323"/>
              <w:spacing w:after="0"/>
              <w:rPr>
                <w:sz w:val="20"/>
                <w:szCs w:val="20"/>
                <w:color w:val="auto"/>
              </w:rPr>
            </w:pPr>
            <w:r>
              <w:rPr>
                <w:rFonts w:ascii="Arial" w:cs="Arial" w:eastAsia="Arial" w:hAnsi="Arial"/>
                <w:sz w:val="16"/>
                <w:szCs w:val="16"/>
                <w:b w:val="1"/>
                <w:bCs w:val="1"/>
                <w:color w:val="231F20"/>
              </w:rPr>
              <w:t>Loss</w:t>
            </w:r>
          </w:p>
        </w:tc>
        <w:tc>
          <w:tcPr>
            <w:tcW w:w="120" w:type="dxa"/>
            <w:vAlign w:val="bottom"/>
            <w:tcBorders>
              <w:bottom w:val="single" w:sz="8" w:color="EBEC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gridSpan w:val="2"/>
          </w:tcPr>
          <w:p>
            <w:pPr>
              <w:jc w:val="right"/>
              <w:ind w:right="200"/>
              <w:spacing w:after="0"/>
              <w:rPr>
                <w:sz w:val="20"/>
                <w:szCs w:val="20"/>
                <w:color w:val="auto"/>
              </w:rPr>
            </w:pPr>
            <w:r>
              <w:rPr>
                <w:rFonts w:ascii="Arial" w:cs="Arial" w:eastAsia="Arial" w:hAnsi="Arial"/>
                <w:sz w:val="16"/>
                <w:szCs w:val="16"/>
                <w:b w:val="1"/>
                <w:bCs w:val="1"/>
                <w:color w:val="231F20"/>
                <w:w w:val="96"/>
              </w:rPr>
              <w:t>Fair Value</w:t>
            </w:r>
          </w:p>
        </w:tc>
      </w:tr>
      <w:tr>
        <w:trPr>
          <w:trHeight w:val="239"/>
        </w:trPr>
        <w:tc>
          <w:tcPr>
            <w:tcW w:w="4860" w:type="dxa"/>
            <w:vAlign w:val="bottom"/>
            <w:shd w:val="clear" w:color="auto" w:fill="EBECEC"/>
          </w:tcPr>
          <w:p>
            <w:pPr>
              <w:spacing w:after="0"/>
              <w:rPr>
                <w:sz w:val="20"/>
                <w:szCs w:val="20"/>
                <w:color w:val="auto"/>
              </w:rPr>
            </w:pPr>
            <w:r>
              <w:rPr>
                <w:rFonts w:ascii="Arial" w:cs="Arial" w:eastAsia="Arial" w:hAnsi="Arial"/>
                <w:sz w:val="20"/>
                <w:szCs w:val="20"/>
                <w:color w:val="231F20"/>
              </w:rPr>
              <w:t>Cash equivalents:</w:t>
            </w:r>
          </w:p>
        </w:tc>
        <w:tc>
          <w:tcPr>
            <w:tcW w:w="106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80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c>
          <w:tcPr>
            <w:tcW w:w="90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90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88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r>
      <w:tr>
        <w:trPr>
          <w:trHeight w:val="244"/>
        </w:trPr>
        <w:tc>
          <w:tcPr>
            <w:tcW w:w="4860" w:type="dxa"/>
            <w:vAlign w:val="bottom"/>
          </w:tcPr>
          <w:p>
            <w:pPr>
              <w:ind w:left="280"/>
              <w:spacing w:after="0"/>
              <w:rPr>
                <w:sz w:val="20"/>
                <w:szCs w:val="20"/>
                <w:color w:val="auto"/>
              </w:rPr>
            </w:pPr>
            <w:r>
              <w:rPr>
                <w:rFonts w:ascii="Arial" w:cs="Arial" w:eastAsia="Arial" w:hAnsi="Arial"/>
                <w:sz w:val="20"/>
                <w:szCs w:val="20"/>
                <w:color w:val="231F20"/>
              </w:rPr>
              <w:t>Money market funds</w:t>
            </w:r>
          </w:p>
        </w:tc>
        <w:tc>
          <w:tcPr>
            <w:tcW w:w="1060" w:type="dxa"/>
            <w:vAlign w:val="bottom"/>
          </w:tcPr>
          <w:p>
            <w:pPr>
              <w:jc w:val="center"/>
              <w:spacing w:after="0"/>
              <w:rPr>
                <w:sz w:val="20"/>
                <w:szCs w:val="20"/>
                <w:color w:val="auto"/>
              </w:rPr>
            </w:pPr>
            <w:r>
              <w:rPr>
                <w:rFonts w:ascii="Arial" w:cs="Arial" w:eastAsia="Arial" w:hAnsi="Arial"/>
                <w:sz w:val="20"/>
                <w:szCs w:val="20"/>
                <w:color w:val="231F20"/>
                <w:w w:val="99"/>
              </w:rPr>
              <w:t>Level 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231F20"/>
                <w:w w:val="71"/>
              </w:rPr>
              <w:t>$</w:t>
            </w:r>
          </w:p>
        </w:tc>
        <w:tc>
          <w:tcPr>
            <w:tcW w:w="800" w:type="dxa"/>
            <w:vAlign w:val="bottom"/>
          </w:tcPr>
          <w:p>
            <w:pPr>
              <w:jc w:val="right"/>
              <w:spacing w:after="0"/>
              <w:rPr>
                <w:sz w:val="20"/>
                <w:szCs w:val="20"/>
                <w:color w:val="auto"/>
              </w:rPr>
            </w:pPr>
            <w:r>
              <w:rPr>
                <w:rFonts w:ascii="Arial" w:cs="Arial" w:eastAsia="Arial" w:hAnsi="Arial"/>
                <w:sz w:val="20"/>
                <w:szCs w:val="20"/>
                <w:color w:val="231F20"/>
              </w:rPr>
              <w:t>10,127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7"/>
              <w:spacing w:after="0"/>
              <w:rPr>
                <w:sz w:val="20"/>
                <w:szCs w:val="20"/>
                <w:color w:val="auto"/>
              </w:rPr>
            </w:pPr>
            <w:r>
              <w:rPr>
                <w:rFonts w:ascii="Arial" w:cs="Arial" w:eastAsia="Arial" w:hAnsi="Arial"/>
                <w:sz w:val="20"/>
                <w:szCs w:val="20"/>
                <w:color w:val="231F20"/>
                <w:w w:val="89"/>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231F20"/>
              </w:rPr>
              <w:t>—</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231F20"/>
                <w:w w:val="89"/>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231F20"/>
              </w:rPr>
              <w:t>—</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231F20"/>
                <w:w w:val="71"/>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10,127</w:t>
            </w:r>
          </w:p>
        </w:tc>
        <w:tc>
          <w:tcPr>
            <w:tcW w:w="80" w:type="dxa"/>
            <w:vAlign w:val="bottom"/>
          </w:tcPr>
          <w:p>
            <w:pPr>
              <w:spacing w:after="0"/>
              <w:rPr>
                <w:sz w:val="21"/>
                <w:szCs w:val="21"/>
                <w:color w:val="auto"/>
              </w:rPr>
            </w:pPr>
          </w:p>
        </w:tc>
      </w:tr>
      <w:tr>
        <w:trPr>
          <w:trHeight w:val="244"/>
        </w:trPr>
        <w:tc>
          <w:tcPr>
            <w:tcW w:w="4860" w:type="dxa"/>
            <w:vAlign w:val="bottom"/>
            <w:shd w:val="clear" w:color="auto" w:fill="EBECEC"/>
          </w:tcPr>
          <w:p>
            <w:pPr>
              <w:spacing w:after="0"/>
              <w:rPr>
                <w:sz w:val="20"/>
                <w:szCs w:val="20"/>
                <w:color w:val="auto"/>
              </w:rPr>
            </w:pPr>
            <w:r>
              <w:rPr>
                <w:rFonts w:ascii="Arial" w:cs="Arial" w:eastAsia="Arial" w:hAnsi="Arial"/>
                <w:sz w:val="20"/>
                <w:szCs w:val="20"/>
                <w:color w:val="231F20"/>
              </w:rPr>
              <w:t>Short-term investments:</w:t>
            </w:r>
          </w:p>
        </w:tc>
        <w:tc>
          <w:tcPr>
            <w:tcW w:w="106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80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9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9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880" w:type="dxa"/>
            <w:vAlign w:val="bottom"/>
            <w:shd w:val="clear" w:color="auto" w:fill="EBECEC"/>
          </w:tcPr>
          <w:p>
            <w:pPr>
              <w:spacing w:after="0"/>
              <w:rPr>
                <w:sz w:val="21"/>
                <w:szCs w:val="21"/>
                <w:color w:val="auto"/>
              </w:rPr>
            </w:pPr>
          </w:p>
        </w:tc>
        <w:tc>
          <w:tcPr>
            <w:tcW w:w="80" w:type="dxa"/>
            <w:vAlign w:val="bottom"/>
            <w:shd w:val="clear" w:color="auto" w:fill="EBECEC"/>
          </w:tcPr>
          <w:p>
            <w:pPr>
              <w:spacing w:after="0"/>
              <w:rPr>
                <w:sz w:val="21"/>
                <w:szCs w:val="21"/>
                <w:color w:val="auto"/>
              </w:rPr>
            </w:pPr>
          </w:p>
        </w:tc>
      </w:tr>
      <w:tr>
        <w:trPr>
          <w:trHeight w:val="244"/>
        </w:trPr>
        <w:tc>
          <w:tcPr>
            <w:tcW w:w="4860" w:type="dxa"/>
            <w:vAlign w:val="bottom"/>
          </w:tcPr>
          <w:p>
            <w:pPr>
              <w:ind w:left="280"/>
              <w:spacing w:after="0"/>
              <w:rPr>
                <w:sz w:val="20"/>
                <w:szCs w:val="20"/>
                <w:color w:val="auto"/>
              </w:rPr>
            </w:pPr>
            <w:r>
              <w:rPr>
                <w:rFonts w:ascii="Arial" w:cs="Arial" w:eastAsia="Arial" w:hAnsi="Arial"/>
                <w:sz w:val="20"/>
                <w:szCs w:val="20"/>
                <w:color w:val="231F20"/>
              </w:rPr>
              <w:t>U.S. Treasury securities</w:t>
            </w:r>
          </w:p>
        </w:tc>
        <w:tc>
          <w:tcPr>
            <w:tcW w:w="1060" w:type="dxa"/>
            <w:vAlign w:val="bottom"/>
          </w:tcPr>
          <w:p>
            <w:pPr>
              <w:jc w:val="center"/>
              <w:spacing w:after="0"/>
              <w:rPr>
                <w:sz w:val="20"/>
                <w:szCs w:val="20"/>
                <w:color w:val="auto"/>
              </w:rPr>
            </w:pPr>
            <w:r>
              <w:rPr>
                <w:rFonts w:ascii="Arial" w:cs="Arial" w:eastAsia="Arial" w:hAnsi="Arial"/>
                <w:sz w:val="20"/>
                <w:szCs w:val="20"/>
                <w:color w:val="231F20"/>
                <w:w w:val="99"/>
              </w:rPr>
              <w:t>Level 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25,906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20"/>
                <w:szCs w:val="20"/>
                <w:color w:val="231F20"/>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20"/>
                <w:szCs w:val="20"/>
                <w:color w:val="231F20"/>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25,930</w:t>
            </w:r>
          </w:p>
        </w:tc>
        <w:tc>
          <w:tcPr>
            <w:tcW w:w="80" w:type="dxa"/>
            <w:vAlign w:val="bottom"/>
          </w:tcPr>
          <w:p>
            <w:pPr>
              <w:spacing w:after="0"/>
              <w:rPr>
                <w:sz w:val="21"/>
                <w:szCs w:val="21"/>
                <w:color w:val="auto"/>
              </w:rPr>
            </w:pPr>
          </w:p>
        </w:tc>
      </w:tr>
      <w:tr>
        <w:trPr>
          <w:trHeight w:val="244"/>
        </w:trPr>
        <w:tc>
          <w:tcPr>
            <w:tcW w:w="486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Commercial paper</w:t>
            </w:r>
          </w:p>
        </w:tc>
        <w:tc>
          <w:tcPr>
            <w:tcW w:w="1060" w:type="dxa"/>
            <w:vAlign w:val="bottom"/>
            <w:shd w:val="clear" w:color="auto" w:fill="EBECEC"/>
          </w:tcPr>
          <w:p>
            <w:pPr>
              <w:jc w:val="center"/>
              <w:spacing w:after="0"/>
              <w:rPr>
                <w:sz w:val="20"/>
                <w:szCs w:val="20"/>
                <w:color w:val="auto"/>
              </w:rPr>
            </w:pPr>
            <w:r>
              <w:rPr>
                <w:rFonts w:ascii="Arial" w:cs="Arial" w:eastAsia="Arial" w:hAnsi="Arial"/>
                <w:sz w:val="20"/>
                <w:szCs w:val="20"/>
                <w:color w:val="231F20"/>
                <w:w w:val="99"/>
              </w:rPr>
              <w:t>Level 2</w:t>
            </w:r>
          </w:p>
        </w:tc>
        <w:tc>
          <w:tcPr>
            <w:tcW w:w="12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8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30,842</w:t>
            </w:r>
          </w:p>
        </w:tc>
        <w:tc>
          <w:tcPr>
            <w:tcW w:w="10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900" w:type="dxa"/>
            <w:vAlign w:val="bottom"/>
            <w:shd w:val="clear" w:color="auto" w:fill="EBECEC"/>
          </w:tcPr>
          <w:p>
            <w:pPr>
              <w:jc w:val="right"/>
              <w:ind w:right="23"/>
              <w:spacing w:after="0"/>
              <w:rPr>
                <w:sz w:val="20"/>
                <w:szCs w:val="20"/>
                <w:color w:val="auto"/>
              </w:rPr>
            </w:pPr>
            <w:r>
              <w:rPr>
                <w:rFonts w:ascii="Arial" w:cs="Arial" w:eastAsia="Arial" w:hAnsi="Arial"/>
                <w:sz w:val="20"/>
                <w:szCs w:val="20"/>
                <w:color w:val="231F20"/>
              </w:rPr>
              <w:t>11</w:t>
            </w:r>
          </w:p>
        </w:tc>
        <w:tc>
          <w:tcPr>
            <w:tcW w:w="12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9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(14)</w:t>
            </w:r>
          </w:p>
        </w:tc>
        <w:tc>
          <w:tcPr>
            <w:tcW w:w="12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8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30,839</w:t>
            </w:r>
          </w:p>
        </w:tc>
        <w:tc>
          <w:tcPr>
            <w:tcW w:w="80" w:type="dxa"/>
            <w:vAlign w:val="bottom"/>
            <w:shd w:val="clear" w:color="auto" w:fill="EBECEC"/>
          </w:tcPr>
          <w:p>
            <w:pPr>
              <w:spacing w:after="0"/>
              <w:rPr>
                <w:sz w:val="21"/>
                <w:szCs w:val="21"/>
                <w:color w:val="auto"/>
              </w:rPr>
            </w:pPr>
          </w:p>
        </w:tc>
      </w:tr>
      <w:tr>
        <w:trPr>
          <w:trHeight w:val="244"/>
        </w:trPr>
        <w:tc>
          <w:tcPr>
            <w:tcW w:w="4860" w:type="dxa"/>
            <w:vAlign w:val="bottom"/>
          </w:tcPr>
          <w:p>
            <w:pPr>
              <w:ind w:left="280"/>
              <w:spacing w:after="0"/>
              <w:rPr>
                <w:sz w:val="20"/>
                <w:szCs w:val="20"/>
                <w:color w:val="auto"/>
              </w:rPr>
            </w:pPr>
            <w:r>
              <w:rPr>
                <w:rFonts w:ascii="Arial" w:cs="Arial" w:eastAsia="Arial" w:hAnsi="Arial"/>
                <w:sz w:val="20"/>
                <w:szCs w:val="20"/>
                <w:color w:val="231F20"/>
              </w:rPr>
              <w:t>U.S. Government agency securities</w:t>
            </w:r>
          </w:p>
        </w:tc>
        <w:tc>
          <w:tcPr>
            <w:tcW w:w="1060" w:type="dxa"/>
            <w:vAlign w:val="bottom"/>
          </w:tcPr>
          <w:p>
            <w:pPr>
              <w:jc w:val="center"/>
              <w:spacing w:after="0"/>
              <w:rPr>
                <w:sz w:val="20"/>
                <w:szCs w:val="20"/>
                <w:color w:val="auto"/>
              </w:rPr>
            </w:pPr>
            <w:r>
              <w:rPr>
                <w:rFonts w:ascii="Arial" w:cs="Arial" w:eastAsia="Arial" w:hAnsi="Arial"/>
                <w:sz w:val="20"/>
                <w:szCs w:val="20"/>
                <w:color w:val="231F20"/>
                <w:w w:val="99"/>
              </w:rPr>
              <w:t>Level 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3,499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20"/>
                <w:szCs w:val="20"/>
                <w:color w:val="231F20"/>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20"/>
                <w:szCs w:val="20"/>
                <w:color w:val="231F20"/>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3,505</w:t>
            </w:r>
          </w:p>
        </w:tc>
        <w:tc>
          <w:tcPr>
            <w:tcW w:w="80" w:type="dxa"/>
            <w:vAlign w:val="bottom"/>
          </w:tcPr>
          <w:p>
            <w:pPr>
              <w:spacing w:after="0"/>
              <w:rPr>
                <w:sz w:val="21"/>
                <w:szCs w:val="21"/>
                <w:color w:val="auto"/>
              </w:rPr>
            </w:pPr>
          </w:p>
        </w:tc>
      </w:tr>
      <w:tr>
        <w:trPr>
          <w:trHeight w:val="244"/>
        </w:trPr>
        <w:tc>
          <w:tcPr>
            <w:tcW w:w="486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Corporate debt securities</w:t>
            </w:r>
          </w:p>
        </w:tc>
        <w:tc>
          <w:tcPr>
            <w:tcW w:w="1060" w:type="dxa"/>
            <w:vAlign w:val="bottom"/>
            <w:shd w:val="clear" w:color="auto" w:fill="EBECEC"/>
          </w:tcPr>
          <w:p>
            <w:pPr>
              <w:jc w:val="center"/>
              <w:spacing w:after="0"/>
              <w:rPr>
                <w:sz w:val="20"/>
                <w:szCs w:val="20"/>
                <w:color w:val="auto"/>
              </w:rPr>
            </w:pPr>
            <w:r>
              <w:rPr>
                <w:rFonts w:ascii="Arial" w:cs="Arial" w:eastAsia="Arial" w:hAnsi="Arial"/>
                <w:sz w:val="20"/>
                <w:szCs w:val="20"/>
                <w:color w:val="231F20"/>
                <w:w w:val="99"/>
              </w:rPr>
              <w:t>Level 2</w:t>
            </w:r>
          </w:p>
        </w:tc>
        <w:tc>
          <w:tcPr>
            <w:tcW w:w="12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8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1,991</w:t>
            </w:r>
          </w:p>
        </w:tc>
        <w:tc>
          <w:tcPr>
            <w:tcW w:w="10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900" w:type="dxa"/>
            <w:vAlign w:val="bottom"/>
            <w:shd w:val="clear" w:color="auto" w:fill="EBECEC"/>
          </w:tcPr>
          <w:p>
            <w:pPr>
              <w:jc w:val="right"/>
              <w:ind w:right="23"/>
              <w:spacing w:after="0"/>
              <w:rPr>
                <w:sz w:val="20"/>
                <w:szCs w:val="20"/>
                <w:color w:val="auto"/>
              </w:rPr>
            </w:pPr>
            <w:r>
              <w:rPr>
                <w:rFonts w:ascii="Arial" w:cs="Arial" w:eastAsia="Arial" w:hAnsi="Arial"/>
                <w:sz w:val="20"/>
                <w:szCs w:val="20"/>
                <w:color w:val="231F20"/>
              </w:rPr>
              <w:t>2</w:t>
            </w:r>
          </w:p>
        </w:tc>
        <w:tc>
          <w:tcPr>
            <w:tcW w:w="12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900" w:type="dxa"/>
            <w:vAlign w:val="bottom"/>
            <w:shd w:val="clear" w:color="auto" w:fill="EBECEC"/>
          </w:tcPr>
          <w:p>
            <w:pPr>
              <w:jc w:val="right"/>
              <w:ind w:right="23"/>
              <w:spacing w:after="0"/>
              <w:rPr>
                <w:sz w:val="20"/>
                <w:szCs w:val="20"/>
                <w:color w:val="auto"/>
              </w:rPr>
            </w:pPr>
            <w:r>
              <w:rPr>
                <w:rFonts w:ascii="Arial" w:cs="Arial" w:eastAsia="Arial" w:hAnsi="Arial"/>
                <w:sz w:val="20"/>
                <w:szCs w:val="20"/>
                <w:color w:val="231F20"/>
              </w:rPr>
              <w:t>—</w:t>
            </w:r>
          </w:p>
        </w:tc>
        <w:tc>
          <w:tcPr>
            <w:tcW w:w="12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8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1,993</w:t>
            </w:r>
          </w:p>
        </w:tc>
        <w:tc>
          <w:tcPr>
            <w:tcW w:w="80" w:type="dxa"/>
            <w:vAlign w:val="bottom"/>
            <w:shd w:val="clear" w:color="auto" w:fill="EBECEC"/>
          </w:tcPr>
          <w:p>
            <w:pPr>
              <w:spacing w:after="0"/>
              <w:rPr>
                <w:sz w:val="21"/>
                <w:szCs w:val="21"/>
                <w:color w:val="auto"/>
              </w:rPr>
            </w:pPr>
          </w:p>
        </w:tc>
      </w:tr>
      <w:tr>
        <w:trPr>
          <w:trHeight w:val="244"/>
        </w:trPr>
        <w:tc>
          <w:tcPr>
            <w:tcW w:w="4860" w:type="dxa"/>
            <w:vAlign w:val="bottom"/>
          </w:tcPr>
          <w:p>
            <w:pPr>
              <w:spacing w:after="0"/>
              <w:rPr>
                <w:sz w:val="20"/>
                <w:szCs w:val="20"/>
                <w:color w:val="auto"/>
              </w:rPr>
            </w:pPr>
            <w:r>
              <w:rPr>
                <w:rFonts w:ascii="Arial" w:cs="Arial" w:eastAsia="Arial" w:hAnsi="Arial"/>
                <w:sz w:val="20"/>
                <w:szCs w:val="20"/>
                <w:color w:val="231F20"/>
              </w:rPr>
              <w:t>Long-term investments: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86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U.S. Treasury securities</w:t>
            </w:r>
          </w:p>
        </w:tc>
        <w:tc>
          <w:tcPr>
            <w:tcW w:w="1060" w:type="dxa"/>
            <w:vAlign w:val="bottom"/>
            <w:shd w:val="clear" w:color="auto" w:fill="EBECEC"/>
          </w:tcPr>
          <w:p>
            <w:pPr>
              <w:jc w:val="center"/>
              <w:spacing w:after="0"/>
              <w:rPr>
                <w:sz w:val="20"/>
                <w:szCs w:val="20"/>
                <w:color w:val="auto"/>
              </w:rPr>
            </w:pPr>
            <w:r>
              <w:rPr>
                <w:rFonts w:ascii="Arial" w:cs="Arial" w:eastAsia="Arial" w:hAnsi="Arial"/>
                <w:sz w:val="20"/>
                <w:szCs w:val="20"/>
                <w:color w:val="231F20"/>
                <w:w w:val="99"/>
              </w:rPr>
              <w:t>Level 1</w:t>
            </w:r>
          </w:p>
        </w:tc>
        <w:tc>
          <w:tcPr>
            <w:tcW w:w="12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200" w:type="dxa"/>
            <w:vAlign w:val="bottom"/>
            <w:tcBorders>
              <w:bottom w:val="single" w:sz="8" w:color="231F20"/>
            </w:tcBorders>
            <w:shd w:val="clear" w:color="auto" w:fill="EBECEC"/>
          </w:tcPr>
          <w:p>
            <w:pPr>
              <w:spacing w:after="0"/>
              <w:rPr>
                <w:sz w:val="21"/>
                <w:szCs w:val="21"/>
                <w:color w:val="auto"/>
              </w:rPr>
            </w:pPr>
          </w:p>
        </w:tc>
        <w:tc>
          <w:tcPr>
            <w:tcW w:w="80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5,019</w:t>
            </w:r>
          </w:p>
        </w:tc>
        <w:tc>
          <w:tcPr>
            <w:tcW w:w="100" w:type="dxa"/>
            <w:vAlign w:val="bottom"/>
            <w:tcBorders>
              <w:bottom w:val="single" w:sz="8" w:color="231F20"/>
            </w:tcBorders>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220" w:type="dxa"/>
            <w:vAlign w:val="bottom"/>
            <w:tcBorders>
              <w:bottom w:val="single" w:sz="8" w:color="231F20"/>
            </w:tcBorders>
            <w:shd w:val="clear" w:color="auto" w:fill="EBECEC"/>
          </w:tcPr>
          <w:p>
            <w:pPr>
              <w:spacing w:after="0"/>
              <w:rPr>
                <w:sz w:val="21"/>
                <w:szCs w:val="21"/>
                <w:color w:val="auto"/>
              </w:rPr>
            </w:pPr>
          </w:p>
        </w:tc>
        <w:tc>
          <w:tcPr>
            <w:tcW w:w="900" w:type="dxa"/>
            <w:vAlign w:val="bottom"/>
            <w:tcBorders>
              <w:bottom w:val="single" w:sz="8" w:color="231F20"/>
            </w:tcBorders>
            <w:shd w:val="clear" w:color="auto" w:fill="EBECEC"/>
          </w:tcPr>
          <w:p>
            <w:pPr>
              <w:jc w:val="right"/>
              <w:ind w:right="23"/>
              <w:spacing w:after="0"/>
              <w:rPr>
                <w:sz w:val="20"/>
                <w:szCs w:val="20"/>
                <w:color w:val="auto"/>
              </w:rPr>
            </w:pPr>
            <w:r>
              <w:rPr>
                <w:rFonts w:ascii="Arial" w:cs="Arial" w:eastAsia="Arial" w:hAnsi="Arial"/>
                <w:sz w:val="20"/>
                <w:szCs w:val="20"/>
                <w:color w:val="231F20"/>
              </w:rPr>
              <w:t>2</w:t>
            </w:r>
          </w:p>
        </w:tc>
        <w:tc>
          <w:tcPr>
            <w:tcW w:w="120" w:type="dxa"/>
            <w:vAlign w:val="bottom"/>
            <w:shd w:val="clear" w:color="auto" w:fill="EBECEC"/>
          </w:tcPr>
          <w:p>
            <w:pPr>
              <w:spacing w:after="0"/>
              <w:rPr>
                <w:sz w:val="21"/>
                <w:szCs w:val="21"/>
                <w:color w:val="auto"/>
              </w:rPr>
            </w:pPr>
          </w:p>
        </w:tc>
        <w:tc>
          <w:tcPr>
            <w:tcW w:w="200" w:type="dxa"/>
            <w:vAlign w:val="bottom"/>
            <w:tcBorders>
              <w:bottom w:val="single" w:sz="8" w:color="231F20"/>
            </w:tcBorders>
            <w:shd w:val="clear" w:color="auto" w:fill="EBECEC"/>
          </w:tcPr>
          <w:p>
            <w:pPr>
              <w:spacing w:after="0"/>
              <w:rPr>
                <w:sz w:val="21"/>
                <w:szCs w:val="21"/>
                <w:color w:val="auto"/>
              </w:rPr>
            </w:pPr>
          </w:p>
        </w:tc>
        <w:tc>
          <w:tcPr>
            <w:tcW w:w="900" w:type="dxa"/>
            <w:vAlign w:val="bottom"/>
            <w:tcBorders>
              <w:bottom w:val="single" w:sz="8" w:color="231F20"/>
            </w:tcBorders>
            <w:shd w:val="clear" w:color="auto" w:fill="EBECEC"/>
          </w:tcPr>
          <w:p>
            <w:pPr>
              <w:jc w:val="right"/>
              <w:ind w:right="23"/>
              <w:spacing w:after="0"/>
              <w:rPr>
                <w:sz w:val="20"/>
                <w:szCs w:val="20"/>
                <w:color w:val="auto"/>
              </w:rPr>
            </w:pPr>
            <w:r>
              <w:rPr>
                <w:rFonts w:ascii="Arial" w:cs="Arial" w:eastAsia="Arial" w:hAnsi="Arial"/>
                <w:sz w:val="20"/>
                <w:szCs w:val="20"/>
                <w:color w:val="231F20"/>
              </w:rPr>
              <w:t>—</w:t>
            </w:r>
          </w:p>
        </w:tc>
        <w:tc>
          <w:tcPr>
            <w:tcW w:w="120" w:type="dxa"/>
            <w:vAlign w:val="bottom"/>
            <w:shd w:val="clear" w:color="auto" w:fill="EBECEC"/>
          </w:tcPr>
          <w:p>
            <w:pPr>
              <w:spacing w:after="0"/>
              <w:rPr>
                <w:sz w:val="21"/>
                <w:szCs w:val="21"/>
                <w:color w:val="auto"/>
              </w:rPr>
            </w:pPr>
          </w:p>
        </w:tc>
        <w:tc>
          <w:tcPr>
            <w:tcW w:w="120" w:type="dxa"/>
            <w:vAlign w:val="bottom"/>
            <w:tcBorders>
              <w:bottom w:val="single" w:sz="8" w:color="231F20"/>
            </w:tcBorders>
            <w:shd w:val="clear" w:color="auto" w:fill="EBECEC"/>
          </w:tcPr>
          <w:p>
            <w:pPr>
              <w:spacing w:after="0"/>
              <w:rPr>
                <w:sz w:val="21"/>
                <w:szCs w:val="21"/>
                <w:color w:val="auto"/>
              </w:rPr>
            </w:pPr>
          </w:p>
        </w:tc>
        <w:tc>
          <w:tcPr>
            <w:tcW w:w="88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5,021</w:t>
            </w:r>
          </w:p>
        </w:tc>
        <w:tc>
          <w:tcPr>
            <w:tcW w:w="80" w:type="dxa"/>
            <w:vAlign w:val="bottom"/>
            <w:tcBorders>
              <w:bottom w:val="single" w:sz="8" w:color="231F20"/>
            </w:tcBorders>
            <w:shd w:val="clear" w:color="auto" w:fill="EBECEC"/>
          </w:tcPr>
          <w:p>
            <w:pPr>
              <w:spacing w:after="0"/>
              <w:rPr>
                <w:sz w:val="21"/>
                <w:szCs w:val="21"/>
                <w:color w:val="auto"/>
              </w:rPr>
            </w:pPr>
          </w:p>
        </w:tc>
      </w:tr>
      <w:tr>
        <w:trPr>
          <w:trHeight w:val="239"/>
        </w:trPr>
        <w:tc>
          <w:tcPr>
            <w:tcW w:w="4860" w:type="dxa"/>
            <w:vAlign w:val="bottom"/>
          </w:tcPr>
          <w:p>
            <w:pPr>
              <w:spacing w:after="0"/>
              <w:rPr>
                <w:sz w:val="20"/>
                <w:szCs w:val="20"/>
                <w:color w:val="auto"/>
              </w:rPr>
            </w:pPr>
            <w:r>
              <w:rPr>
                <w:rFonts w:ascii="Arial" w:cs="Arial" w:eastAsia="Arial" w:hAnsi="Arial"/>
                <w:sz w:val="20"/>
                <w:szCs w:val="20"/>
                <w:color w:val="231F20"/>
              </w:rPr>
              <w:t>Total</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31F20"/>
            </w:tcBorders>
          </w:tcPr>
          <w:p>
            <w:pPr>
              <w:jc w:val="right"/>
              <w:ind w:right="43"/>
              <w:spacing w:after="0"/>
              <w:rPr>
                <w:sz w:val="20"/>
                <w:szCs w:val="20"/>
                <w:color w:val="auto"/>
              </w:rPr>
            </w:pPr>
            <w:r>
              <w:rPr>
                <w:rFonts w:ascii="Arial" w:cs="Arial" w:eastAsia="Arial" w:hAnsi="Arial"/>
                <w:sz w:val="15"/>
                <w:szCs w:val="15"/>
                <w:color w:val="231F20"/>
                <w:w w:val="71"/>
              </w:rPr>
              <w:t>$</w:t>
            </w: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77,384</w:t>
            </w:r>
          </w:p>
        </w:tc>
        <w:tc>
          <w:tcPr>
            <w:tcW w:w="100" w:type="dxa"/>
            <w:vAlign w:val="bottom"/>
            <w:tcBorders>
              <w:bottom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231F20"/>
            </w:tcBorders>
          </w:tcPr>
          <w:p>
            <w:pPr>
              <w:jc w:val="right"/>
              <w:ind w:right="7"/>
              <w:spacing w:after="0"/>
              <w:rPr>
                <w:sz w:val="20"/>
                <w:szCs w:val="20"/>
                <w:color w:val="auto"/>
              </w:rPr>
            </w:pPr>
            <w:r>
              <w:rPr>
                <w:rFonts w:ascii="Arial" w:cs="Arial" w:eastAsia="Arial" w:hAnsi="Arial"/>
                <w:sz w:val="20"/>
                <w:szCs w:val="20"/>
                <w:color w:val="231F20"/>
                <w:w w:val="89"/>
              </w:rPr>
              <w:t>$</w:t>
            </w:r>
          </w:p>
        </w:tc>
        <w:tc>
          <w:tcPr>
            <w:tcW w:w="900" w:type="dxa"/>
            <w:vAlign w:val="bottom"/>
            <w:tcBorders>
              <w:bottom w:val="single" w:sz="8" w:color="231F20"/>
            </w:tcBorders>
          </w:tcPr>
          <w:p>
            <w:pPr>
              <w:jc w:val="right"/>
              <w:ind w:right="23"/>
              <w:spacing w:after="0"/>
              <w:rPr>
                <w:sz w:val="20"/>
                <w:szCs w:val="20"/>
                <w:color w:val="auto"/>
              </w:rPr>
            </w:pPr>
            <w:r>
              <w:rPr>
                <w:rFonts w:ascii="Arial" w:cs="Arial" w:eastAsia="Arial" w:hAnsi="Arial"/>
                <w:sz w:val="20"/>
                <w:szCs w:val="20"/>
                <w:color w:val="231F20"/>
              </w:rPr>
              <w:t>45</w:t>
            </w:r>
          </w:p>
        </w:tc>
        <w:tc>
          <w:tcPr>
            <w:tcW w:w="120" w:type="dxa"/>
            <w:vAlign w:val="bottom"/>
          </w:tcPr>
          <w:p>
            <w:pPr>
              <w:spacing w:after="0"/>
              <w:rPr>
                <w:sz w:val="20"/>
                <w:szCs w:val="20"/>
                <w:color w:val="auto"/>
              </w:rPr>
            </w:pPr>
          </w:p>
        </w:tc>
        <w:tc>
          <w:tcPr>
            <w:tcW w:w="2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w w:val="89"/>
              </w:rPr>
              <w:t>$</w:t>
            </w: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(14)</w:t>
            </w:r>
          </w:p>
        </w:tc>
        <w:tc>
          <w:tcPr>
            <w:tcW w:w="120" w:type="dxa"/>
            <w:vAlign w:val="bottom"/>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w w:val="71"/>
              </w:rPr>
              <w:t>$</w:t>
            </w: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77,415</w:t>
            </w:r>
          </w:p>
        </w:tc>
        <w:tc>
          <w:tcPr>
            <w:tcW w:w="80" w:type="dxa"/>
            <w:vAlign w:val="bottom"/>
            <w:tcBorders>
              <w:bottom w:val="single" w:sz="8" w:color="231F20"/>
            </w:tcBorders>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-1862455</wp:posOffset>
            </wp:positionV>
            <wp:extent cx="37611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extLst>
                    </a:blip>
                    <a:srcRect/>
                    <a:stretch>
                      <a:fillRect/>
                    </a:stretch>
                  </pic:blipFill>
                  <pic:spPr bwMode="auto">
                    <a:xfrm>
                      <a:off x="0" y="0"/>
                      <a:ext cx="3761105" cy="381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320" w:firstLine="490"/>
        <w:spacing w:after="0" w:line="282" w:lineRule="auto"/>
        <w:rPr>
          <w:sz w:val="20"/>
          <w:szCs w:val="20"/>
          <w:color w:val="auto"/>
        </w:rPr>
      </w:pPr>
      <w:r>
        <w:rPr>
          <w:rFonts w:ascii="Arial" w:cs="Arial" w:eastAsia="Arial" w:hAnsi="Arial"/>
          <w:sz w:val="20"/>
          <w:szCs w:val="20"/>
          <w:color w:val="231F20"/>
        </w:rPr>
        <w:t>The Company classifies its money market funds and U.S. Treasury securities, which are valued based on quoted market prices in active markets with no valuation adjustment, as Level 1 assets within the fair value hierarchy.</w:t>
      </w:r>
    </w:p>
    <w:p>
      <w:pPr>
        <w:spacing w:after="0" w:line="160" w:lineRule="exact"/>
        <w:rPr>
          <w:sz w:val="20"/>
          <w:szCs w:val="20"/>
          <w:color w:val="auto"/>
        </w:rPr>
      </w:pPr>
    </w:p>
    <w:p>
      <w:pPr>
        <w:ind w:right="100" w:firstLine="490"/>
        <w:spacing w:after="0" w:line="246" w:lineRule="auto"/>
        <w:rPr>
          <w:sz w:val="20"/>
          <w:szCs w:val="20"/>
          <w:color w:val="auto"/>
        </w:rPr>
      </w:pPr>
      <w:r>
        <w:rPr>
          <w:rFonts w:ascii="Arial" w:cs="Arial" w:eastAsia="Arial" w:hAnsi="Arial"/>
          <w:sz w:val="20"/>
          <w:szCs w:val="20"/>
          <w:color w:val="231F20"/>
        </w:rPr>
        <w:t>The Company classifies its investments in commercial paper, corporate debt securities, U.S. government agency securities and U.S. Treasury securities as Level 2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year ended December 31, 2025.</w:t>
      </w:r>
    </w:p>
    <w:p>
      <w:pPr>
        <w:spacing w:after="0" w:line="194" w:lineRule="exact"/>
        <w:rPr>
          <w:sz w:val="20"/>
          <w:szCs w:val="20"/>
          <w:color w:val="auto"/>
        </w:rPr>
      </w:pPr>
    </w:p>
    <w:p>
      <w:pPr>
        <w:jc w:val="both"/>
        <w:ind w:right="360" w:firstLine="490"/>
        <w:spacing w:after="0" w:line="261" w:lineRule="auto"/>
        <w:rPr>
          <w:sz w:val="20"/>
          <w:szCs w:val="20"/>
          <w:color w:val="auto"/>
        </w:rPr>
      </w:pPr>
      <w:r>
        <w:rPr>
          <w:rFonts w:ascii="Arial" w:cs="Arial" w:eastAsia="Arial" w:hAnsi="Arial"/>
          <w:sz w:val="20"/>
          <w:szCs w:val="20"/>
          <w:color w:val="231F20"/>
        </w:rPr>
        <w:t>As of December 31, 2025, none of the Company’s available-for-sale investments that were in an unrealized loss position had been in an unrealized loss position for more than 12 months. During the years ended December 31, 2025 and 2024, the Company did not sell any available-for-sale investments.</w:t>
      </w:r>
    </w:p>
    <w:p>
      <w:pPr>
        <w:spacing w:after="0" w:line="180" w:lineRule="exact"/>
        <w:rPr>
          <w:sz w:val="20"/>
          <w:szCs w:val="20"/>
          <w:color w:val="auto"/>
        </w:rPr>
      </w:pPr>
    </w:p>
    <w:p>
      <w:pPr>
        <w:ind w:right="600" w:firstLine="490"/>
        <w:spacing w:after="0" w:line="282" w:lineRule="auto"/>
        <w:rPr>
          <w:sz w:val="20"/>
          <w:szCs w:val="20"/>
          <w:color w:val="auto"/>
        </w:rPr>
      </w:pPr>
      <w:r>
        <w:rPr>
          <w:rFonts w:ascii="Arial" w:cs="Arial" w:eastAsia="Arial" w:hAnsi="Arial"/>
          <w:sz w:val="20"/>
          <w:szCs w:val="20"/>
          <w:color w:val="231F20"/>
        </w:rPr>
        <w:t>The Company’s short-term investments had maturities of less than one year from the balance sheet date. The Company’s long-term investments had maturities of between one and two years from the balance sheet date.</w:t>
      </w:r>
    </w:p>
    <w:p>
      <w:pPr>
        <w:spacing w:after="0" w:line="160"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231F20"/>
        </w:rPr>
        <w:t>The Company does not intend to sell the securities in an unrealized loss position and does not expect they will be required to sell the securities before recovery of the unamortized cost basis. Additionally, the Company evaluated its securities for credit losses and considered the decline in market value to be primarily attributable to current economic and market conditions and not credit related. Accordingly, no allowance for credit losses has been recognized as of December 31, 2025 and 2024. During the years ended December 31, 2025 and 2024, the Company did not recognize any impairment losses related to investments.</w:t>
      </w:r>
    </w:p>
    <w:p>
      <w:pPr>
        <w:spacing w:after="0" w:line="194" w:lineRule="exact"/>
        <w:rPr>
          <w:sz w:val="20"/>
          <w:szCs w:val="20"/>
          <w:color w:val="auto"/>
        </w:rPr>
      </w:pPr>
    </w:p>
    <w:p>
      <w:pPr>
        <w:ind w:right="220" w:firstLine="490"/>
        <w:spacing w:after="0" w:line="282" w:lineRule="auto"/>
        <w:rPr>
          <w:sz w:val="20"/>
          <w:szCs w:val="20"/>
          <w:color w:val="auto"/>
        </w:rPr>
      </w:pPr>
      <w:r>
        <w:rPr>
          <w:rFonts w:ascii="Arial" w:cs="Arial" w:eastAsia="Arial" w:hAnsi="Arial"/>
          <w:sz w:val="20"/>
          <w:szCs w:val="20"/>
          <w:color w:val="231F20"/>
        </w:rPr>
        <w:t>As of December 31, 2025 and 2024, the Company had accrued interest receivable of $0.4 million and $0.3 million, respectively, which was included in prepaid expenses and other current assets on the balance sheets.</w:t>
      </w:r>
    </w:p>
    <w:p>
      <w:pPr>
        <w:sectPr>
          <w:pgSz w:w="11880" w:h="15480" w:orient="portrait"/>
          <w:cols w:equalWidth="0" w:num="1">
            <w:col w:w="10800"/>
          </w:cols>
          <w:pgMar w:left="540" w:top="75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F-15</w:t>
      </w:r>
    </w:p>
    <w:p>
      <w:pPr>
        <w:sectPr>
          <w:pgSz w:w="11880" w:h="15480" w:orient="portrait"/>
          <w:cols w:equalWidth="0" w:num="1">
            <w:col w:w="10800"/>
          </w:cols>
          <w:pgMar w:left="540" w:top="756" w:right="540" w:bottom="6"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4. Funding Arrangements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NIAID Contract</w:t>
      </w:r>
    </w:p>
    <w:p>
      <w:pPr>
        <w:spacing w:after="0" w:line="116"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In September 2022, the Company received a cost-reimbursement contract award from the NIAID to support preclinical, Phase 1 studies and other activities to enable the advancement of epetraborole into late-stage development for acute systemic melioidosis and other biothreat pathogens. Under the original award, the Company was eligible to receive up to $17.8 million in funding over a total term of 48 months, consisting of a base period and seven option periods. In July 2023 and May 2024, the NIAID exercised two of seven available options under the NIAID contract (No: 75N93022C00059), resulting in an increase in committed contract funding of $0.7 million and $3.8 million, respectively, for a cumulative total of $8.8 million. In April 2025, the Company entered into a contract modification with NIAID for a $0.5 million increase and term extension to an existing NIAID contract option. In June 2025, as part of a U.S. government cost efficiency initiative under a 2025 Executive Order, the Company was notified that the NIAID will not exercise certain remaining options under the contract, resulting in a total $9.0 million reduction to the $18.3 million contract, for a cumulative contract total of $9.3 million. Funding for the exercised options extends the estimated completion of the current contract by 29 months beyond the base period of 18 months to August 2026. As of December 31, 2025, a total of $9.3 million of funding has been committed.</w:t>
      </w:r>
    </w:p>
    <w:p>
      <w:pPr>
        <w:spacing w:after="0" w:line="203" w:lineRule="exact"/>
        <w:rPr>
          <w:sz w:val="20"/>
          <w:szCs w:val="20"/>
          <w:color w:val="auto"/>
        </w:rPr>
      </w:pPr>
    </w:p>
    <w:p>
      <w:pPr>
        <w:ind w:firstLine="490"/>
        <w:spacing w:after="0" w:line="254" w:lineRule="auto"/>
        <w:rPr>
          <w:sz w:val="20"/>
          <w:szCs w:val="20"/>
          <w:color w:val="auto"/>
        </w:rPr>
      </w:pPr>
      <w:r>
        <w:rPr>
          <w:rFonts w:ascii="Arial" w:cs="Arial" w:eastAsia="Arial" w:hAnsi="Arial"/>
          <w:sz w:val="20"/>
          <w:szCs w:val="20"/>
          <w:color w:val="231F20"/>
        </w:rPr>
        <w:t>As of December 31, 2025 and 2024, the Company had recorded a receivable of $0.5 million and zero, respectively, which was included in prepaid expenses and other current assets on the balance sheets. During the years ended December 31, 2025 and 2024, the Company recorded $3.4 million and $1.8 million, respectively, under the NIAID contract as a reduction in research and development operating expenses.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UGARF Grant</w:t>
      </w:r>
    </w:p>
    <w:p>
      <w:pPr>
        <w:spacing w:after="0" w:line="116" w:lineRule="exact"/>
        <w:rPr>
          <w:sz w:val="20"/>
          <w:szCs w:val="20"/>
          <w:color w:val="auto"/>
        </w:rPr>
      </w:pPr>
    </w:p>
    <w:p>
      <w:pPr>
        <w:ind w:right="100" w:firstLine="490"/>
        <w:spacing w:after="0" w:line="247" w:lineRule="auto"/>
        <w:rPr>
          <w:sz w:val="20"/>
          <w:szCs w:val="20"/>
          <w:color w:val="auto"/>
        </w:rPr>
      </w:pPr>
      <w:r>
        <w:rPr>
          <w:rFonts w:ascii="Arial" w:cs="Arial" w:eastAsia="Arial" w:hAnsi="Arial"/>
          <w:sz w:val="20"/>
          <w:szCs w:val="20"/>
          <w:color w:val="231F20"/>
        </w:rPr>
        <w:t>In September 2022, the Company entered into a subcontract agreement with the UGARF to conduct preclinical activities on behalf of UGARF (“UGARF Agreement”). The UGARF reimburses the Company under an award from Wellcome. The Company received $1.4 million from the UGARF to support preclinical development of a boron-containing small molecule for Chagas disease. In July 2024, the Company signed an amendment to the UGARF Agreement for additional funding in the amount of $0.2 million. During the years ended December 31, 2025 and 2024, the Company recorded no income and income of $0.2 million, respectively, as a reduction in research and development operating expenses under the UGARF Agreement.</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Gates Foundation Grant</w:t>
      </w:r>
    </w:p>
    <w:p>
      <w:pPr>
        <w:spacing w:after="0" w:line="116"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231F20"/>
        </w:rPr>
        <w:t>In September 2023, the Company received a cost-reimbursement contract award from the Gates Foundation, formerly the Bill and Melinda Gates Foundation (“2023 BMGF Agreement”), under which the Company was awarded $1.8 million to support the discovery of novel, boron containing small molecules for the treatment of tuberculosis and malaria. The Company is required to apply the funds it receives under the 2023 BMGF Agreement solely toward direct costs related to this research program. The Company received $1.0 million of funding in advance and tracks and reports eligible expenses incurred to the Gates Foundation. In April 2024, the Company received $0.8 million in funding, making the grant fully funded.</w:t>
      </w:r>
    </w:p>
    <w:p>
      <w:pPr>
        <w:spacing w:after="0" w:line="193"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231F20"/>
        </w:rPr>
        <w:t>In September 2024, the Company entered into a second-year continuation cost-reimbursement contract award with the Gates Foundation (“2024 BMGF Agreement”), under which the Company was awarded $2.0 million to support an early-stage research program focused on delivering novel leads as starting points for new drugs that can be combined to deliver shorter, safer and simpler TB drug regimens. The Company is required to apply the funds it receives under the 2024 BMGF Agreement solely toward direct costs related to this research program. The Company received $1.1 million of funding in advance and tracks and reports eligible expenses incurred to the Gates Foundation. Any unspent funds and any funds spent that have not yet been incurred are recorded as part of other current liabilities on the balance sheets.</w:t>
      </w:r>
    </w:p>
    <w:p>
      <w:pPr>
        <w:spacing w:after="0" w:line="193"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231F20"/>
        </w:rPr>
        <w:t>In September 2025, the Company entered into a third-year continuation cost-reimbursement contract award with the Gates Foundation, formerly the Bill and Melinda Gates Foundation, (“2025 GF Agreement”), under which the Company was awarded $1.9 million to support an early-stage research program focused on delivering an optimized lead compound for clinical development that can be combined with other compounds to deliver shorter, safer and simpler TB drug regimens. The Company is required to apply the funds it receives under the 2025 GF Agreement solely toward direct costs related to this research program. Any unspent funds and any funds spent that have not yet been incurred are recorded as part of other current liabilities on the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F-16</w:t>
      </w:r>
    </w:p>
    <w:p>
      <w:pPr>
        <w:sectPr>
          <w:pgSz w:w="11880" w:h="15480" w:orient="portrait"/>
          <w:cols w:equalWidth="0" w:num="1">
            <w:col w:w="10800"/>
          </w:cols>
          <w:pgMar w:left="540" w:top="756" w:right="540" w:bottom="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0" w:lineRule="exact"/>
        <w:rPr>
          <w:sz w:val="20"/>
          <w:szCs w:val="20"/>
          <w:color w:val="auto"/>
        </w:rPr>
      </w:pPr>
    </w:p>
    <w:p>
      <w:pPr>
        <w:ind w:right="160" w:firstLine="490"/>
        <w:spacing w:after="0" w:line="250" w:lineRule="auto"/>
        <w:rPr>
          <w:sz w:val="20"/>
          <w:szCs w:val="20"/>
          <w:color w:val="auto"/>
        </w:rPr>
      </w:pPr>
      <w:r>
        <w:rPr>
          <w:rFonts w:ascii="Arial" w:cs="Arial" w:eastAsia="Arial" w:hAnsi="Arial"/>
          <w:sz w:val="20"/>
          <w:szCs w:val="20"/>
          <w:color w:val="231F20"/>
        </w:rPr>
        <w:t>As of December 31, 2025 and 2024, the Company recorded $1.2 million and $0.8 million, respectively, to other current liabilities on the balance sheets. During the year ended December 31, 2025, the Company recorded income of $0.3 million as a reduction in research and development operating expenses under the 2025 GF Agreement. During the years ended December 31, 2025 and 2024, the Company recorded income of $1.5 million and $1.7 million, respectively, as a reduction in research and development operating expenses under the 2024 and 2023 BMGF Agreements.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5. Collaboration and License Agreements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Anacor Licensing Agreement</w:t>
      </w:r>
    </w:p>
    <w:p>
      <w:pPr>
        <w:spacing w:after="0" w:line="116"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231F20"/>
        </w:rPr>
        <w:t>In November 2019, the Company entered into an exclusive worldwide license agreement with Anacor Pharmaceuticals, Inc. (“Anacor”) for certain compounds and other intellectual property controlled by Anacor for the treatment, diagnosis, or prevention of all human diseases (the “Anacor License”). The Anacor License will expire upon expiration of the last to expire royalty term. Either party may terminate the Anacor License for the other party’s material breach following a cure period or immediately upon certain insolvency events relating to the other party. The Company has the right to terminate the agreement at its convenience upon 90-day written notice until the first regulatory approval or one-year notice thereafter. Furthermore, upon termination of the Anacor License for any of the foregoing reasons, the rights and licenses within will terminate.</w:t>
      </w:r>
    </w:p>
    <w:p>
      <w:pPr>
        <w:spacing w:after="0" w:line="194" w:lineRule="exact"/>
        <w:rPr>
          <w:sz w:val="20"/>
          <w:szCs w:val="20"/>
          <w:color w:val="auto"/>
        </w:rPr>
      </w:pPr>
    </w:p>
    <w:p>
      <w:pPr>
        <w:ind w:right="280" w:firstLine="490"/>
        <w:spacing w:after="0" w:line="261" w:lineRule="auto"/>
        <w:rPr>
          <w:sz w:val="20"/>
          <w:szCs w:val="20"/>
          <w:color w:val="auto"/>
        </w:rPr>
      </w:pPr>
      <w:r>
        <w:rPr>
          <w:rFonts w:ascii="Arial" w:cs="Arial" w:eastAsia="Arial" w:hAnsi="Arial"/>
          <w:sz w:val="20"/>
          <w:szCs w:val="20"/>
          <w:color w:val="231F20"/>
        </w:rPr>
        <w:t>In exchange for the worldwide, sublicensable, exclusive right and licenses to develop, manufacture, and commercialize the specified compounds, the Company paid Anacor a non-refundable $2.0 million upfront payment and granted Anacor shares of Series A redeemable convertible preferred stock.</w:t>
      </w:r>
    </w:p>
    <w:p>
      <w:pPr>
        <w:spacing w:after="0" w:line="180"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231F20"/>
        </w:rPr>
        <w:t>The Company agreed to make further payments to Anacor upon achievement of various development milestones for an aggregate maximum of $2.0 million, upon achievement of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The Company also agreed to pay Anacor non-refundable, non-creditable sales royalties on a tiered marginal royalty rate based on the country’s status as a developing or developed country as defined in the license agreement. Sales royalties are a percentage of net sales, as specified in the Anacor License, and range from mid-single digits for developing countries (as classified by the World Bank) and single to mid-teens for all other countries or the China, Hong Kong, Taiwan, and Macau territories, upon reaching a minimum of net sales in the low-teen millions. The sales royalties are required to be paid on a product-by-product and country-by-country basis, until the latest to occur of 15 years following the date of first commercial sale of a product, the expiration of all regulatory or data exclusivity, or the date upon of the expiration of the last to expire valid claim of a licensed patent covering such product in such country. Currently, the date of the expiration of the last to expire valid claim of a licensed patent covering epetraborole in the licensed territory is June 2028. In addition, Anacor is entitled to certain milestone payments upon a change of control of the Company.</w:t>
      </w:r>
    </w:p>
    <w:p>
      <w:pPr>
        <w:spacing w:after="0" w:line="197" w:lineRule="exact"/>
        <w:rPr>
          <w:sz w:val="20"/>
          <w:szCs w:val="20"/>
          <w:color w:val="auto"/>
        </w:rPr>
      </w:pPr>
    </w:p>
    <w:p>
      <w:pPr>
        <w:ind w:right="220" w:firstLine="490"/>
        <w:spacing w:after="0" w:line="254" w:lineRule="auto"/>
        <w:rPr>
          <w:sz w:val="20"/>
          <w:szCs w:val="20"/>
          <w:color w:val="auto"/>
        </w:rPr>
      </w:pPr>
      <w:r>
        <w:rPr>
          <w:rFonts w:ascii="Arial" w:cs="Arial" w:eastAsia="Arial" w:hAnsi="Arial"/>
          <w:sz w:val="20"/>
          <w:szCs w:val="20"/>
          <w:color w:val="231F20"/>
        </w:rPr>
        <w:t>In December 2021, the Company entered into an amendment to the Anacor License for certain compounds and other intellectual property controlled by Anacor for the treatment, diagnosis, or prevention of certain bacterial pathogens (the “Anacor License Amendment”). The Anacor License Amendment has no impact on the Anacor License financial terms.</w:t>
      </w:r>
    </w:p>
    <w:p>
      <w:pPr>
        <w:spacing w:after="0" w:line="186" w:lineRule="exact"/>
        <w:rPr>
          <w:sz w:val="20"/>
          <w:szCs w:val="20"/>
          <w:color w:val="auto"/>
        </w:rPr>
      </w:pPr>
    </w:p>
    <w:p>
      <w:pPr>
        <w:ind w:right="220" w:firstLine="490"/>
        <w:spacing w:after="0" w:line="282" w:lineRule="auto"/>
        <w:rPr>
          <w:sz w:val="20"/>
          <w:szCs w:val="20"/>
          <w:color w:val="auto"/>
        </w:rPr>
      </w:pPr>
      <w:r>
        <w:rPr>
          <w:rFonts w:ascii="Arial" w:cs="Arial" w:eastAsia="Arial" w:hAnsi="Arial"/>
          <w:sz w:val="20"/>
          <w:szCs w:val="20"/>
          <w:color w:val="231F20"/>
        </w:rPr>
        <w:t>None of the development, regulatory, commercial or sales milestones or royalty payments were recognized during the years ended December 31, 2025 and 2024.</w:t>
      </w:r>
    </w:p>
    <w:p>
      <w:pPr>
        <w:sectPr>
          <w:pgSz w:w="11880" w:h="15480" w:orient="portrait"/>
          <w:cols w:equalWidth="0" w:num="1">
            <w:col w:w="10780"/>
          </w:cols>
          <w:pgMar w:left="540" w:top="756" w:right="5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F-17</w:t>
      </w:r>
    </w:p>
    <w:p>
      <w:pPr>
        <w:sectPr>
          <w:pgSz w:w="11880" w:h="15480" w:orient="portrait"/>
          <w:cols w:equalWidth="0" w:num="1">
            <w:col w:w="10780"/>
          </w:cols>
          <w:pgMar w:left="540" w:top="756" w:right="560" w:bottom="6" w:gutter="0" w:footer="0" w:header="0"/>
          <w:type w:val="continuous"/>
        </w:sectPr>
      </w:pPr>
    </w:p>
    <w:bookmarkStart w:id="108" w:name="page109"/>
    <w:bookmarkEnd w:id="108"/>
    <w:p>
      <w:pPr>
        <w:jc w:val="center"/>
        <w:ind w:right="-19"/>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Brii Biosciences Agreement</w:t>
      </w:r>
    </w:p>
    <w:p>
      <w:pPr>
        <w:spacing w:after="0" w:line="116"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231F20"/>
        </w:rPr>
        <w:t>In November 2019, the Company entered into a license agreement granting Brii Biosciences Limited the exclusive development and commercialization rights of certain compounds in China, Hong Kong, Taiwan, and Macau for the treatment of human diseases. The Company did not receive an upfront payment but is eligible to receive up to $15.0 million in the aggregate for development and regulatory milestones and up to $150.0 million in commercial milestones upon achieving sales thresholds. The Company is also entitled to tiered mid-single digits to high-first decile percentage sales-based royalties. The sales royalties are required to be paid on a product-by-product and region-by-region basis, until the latest to occur of 15 years following the date of first commercial sale of a product, the expiration of all regulatory or data exclusivity, or the date upon the expiration of the last to expire claim of a licensed patent covering the composition of matter or approved use of such product in such region. The last to expire valid claim of a licensed patent covering the composition of matter or approved use of such product in the licensed territory is June 2028. Future milestone payments and royalties will be accounted for under ASC 606.</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6. Balance Sheet Components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Accrued Liabilities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Accrued liabilities consist of the following (in thousands):</w:t>
      </w:r>
    </w:p>
    <w:p>
      <w:pPr>
        <w:spacing w:after="0" w:line="339" w:lineRule="exact"/>
        <w:rPr>
          <w:sz w:val="20"/>
          <w:szCs w:val="20"/>
          <w:color w:val="auto"/>
        </w:rPr>
      </w:pPr>
    </w:p>
    <w:tbl>
      <w:tblPr>
        <w:tblLayout w:type="fixed"/>
        <w:tblInd w:w="540" w:type="dxa"/>
        <w:tblCellMar>
          <w:top w:w="0" w:type="dxa"/>
          <w:left w:w="0" w:type="dxa"/>
          <w:bottom w:w="0" w:type="dxa"/>
          <w:right w:w="0" w:type="dxa"/>
        </w:tblCellMar>
      </w:tblPr>
      <w:tr>
        <w:trPr>
          <w:trHeight w:val="198"/>
        </w:trPr>
        <w:tc>
          <w:tcPr>
            <w:tcW w:w="5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206"/>
              <w:spacing w:after="0"/>
              <w:rPr>
                <w:sz w:val="20"/>
                <w:szCs w:val="20"/>
                <w:color w:val="auto"/>
              </w:rPr>
            </w:pPr>
            <w:r>
              <w:rPr>
                <w:rFonts w:ascii="Arial" w:cs="Arial" w:eastAsia="Arial" w:hAnsi="Arial"/>
                <w:sz w:val="16"/>
                <w:szCs w:val="16"/>
                <w:b w:val="1"/>
                <w:bCs w:val="1"/>
                <w:color w:val="231F20"/>
                <w:w w:val="99"/>
              </w:rPr>
              <w:t>December 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166"/>
              <w:spacing w:after="0"/>
              <w:rPr>
                <w:sz w:val="20"/>
                <w:szCs w:val="20"/>
                <w:color w:val="auto"/>
              </w:rPr>
            </w:pPr>
            <w:r>
              <w:rPr>
                <w:rFonts w:ascii="Arial" w:cs="Arial" w:eastAsia="Arial" w:hAnsi="Arial"/>
                <w:sz w:val="16"/>
                <w:szCs w:val="16"/>
                <w:b w:val="1"/>
                <w:bCs w:val="1"/>
                <w:color w:val="231F20"/>
              </w:rPr>
              <w:t>December 31,</w:t>
            </w:r>
          </w:p>
        </w:tc>
      </w:tr>
      <w:tr>
        <w:trPr>
          <w:trHeight w:val="203"/>
        </w:trPr>
        <w:tc>
          <w:tcPr>
            <w:tcW w:w="5660" w:type="dxa"/>
            <w:vAlign w:val="bottom"/>
            <w:tcBorders>
              <w:bottom w:val="single" w:sz="8" w:color="EBECEC"/>
            </w:tcBorders>
          </w:tcPr>
          <w:p>
            <w:pPr>
              <w:spacing w:after="0"/>
              <w:rPr>
                <w:sz w:val="17"/>
                <w:szCs w:val="17"/>
                <w:color w:val="auto"/>
              </w:rPr>
            </w:pPr>
          </w:p>
        </w:tc>
        <w:tc>
          <w:tcPr>
            <w:tcW w:w="920" w:type="dxa"/>
            <w:vAlign w:val="bottom"/>
            <w:tcBorders>
              <w:bottom w:val="single" w:sz="8" w:color="EBEC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ind w:right="546"/>
              <w:spacing w:after="0"/>
              <w:rPr>
                <w:sz w:val="20"/>
                <w:szCs w:val="20"/>
                <w:color w:val="auto"/>
              </w:rPr>
            </w:pPr>
            <w:r>
              <w:rPr>
                <w:rFonts w:ascii="Arial" w:cs="Arial" w:eastAsia="Arial" w:hAnsi="Arial"/>
                <w:sz w:val="16"/>
                <w:szCs w:val="16"/>
                <w:b w:val="1"/>
                <w:bCs w:val="1"/>
                <w:color w:val="231F20"/>
              </w:rPr>
              <w:t>2025</w:t>
            </w:r>
          </w:p>
        </w:tc>
        <w:tc>
          <w:tcPr>
            <w:tcW w:w="160" w:type="dxa"/>
            <w:vAlign w:val="bottom"/>
            <w:tcBorders>
              <w:bottom w:val="single" w:sz="8" w:color="EBEC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jc w:val="right"/>
              <w:ind w:right="506"/>
              <w:spacing w:after="0"/>
              <w:rPr>
                <w:sz w:val="20"/>
                <w:szCs w:val="20"/>
                <w:color w:val="auto"/>
              </w:rPr>
            </w:pPr>
            <w:r>
              <w:rPr>
                <w:rFonts w:ascii="Arial" w:cs="Arial" w:eastAsia="Arial" w:hAnsi="Arial"/>
                <w:sz w:val="16"/>
                <w:szCs w:val="16"/>
                <w:b w:val="1"/>
                <w:bCs w:val="1"/>
                <w:color w:val="231F20"/>
              </w:rPr>
              <w:t>2024</w:t>
            </w:r>
          </w:p>
        </w:tc>
      </w:tr>
      <w:tr>
        <w:trPr>
          <w:trHeight w:val="239"/>
        </w:trPr>
        <w:tc>
          <w:tcPr>
            <w:tcW w:w="5660" w:type="dxa"/>
            <w:vAlign w:val="bottom"/>
            <w:shd w:val="clear" w:color="auto" w:fill="EBECEC"/>
          </w:tcPr>
          <w:p>
            <w:pPr>
              <w:spacing w:after="0"/>
              <w:rPr>
                <w:sz w:val="20"/>
                <w:szCs w:val="20"/>
                <w:color w:val="auto"/>
              </w:rPr>
            </w:pPr>
            <w:r>
              <w:rPr>
                <w:rFonts w:ascii="Arial" w:cs="Arial" w:eastAsia="Arial" w:hAnsi="Arial"/>
                <w:sz w:val="20"/>
                <w:szCs w:val="20"/>
                <w:color w:val="231F20"/>
              </w:rPr>
              <w:t>Accrued research and development-related expenses</w:t>
            </w:r>
          </w:p>
        </w:tc>
        <w:tc>
          <w:tcPr>
            <w:tcW w:w="920" w:type="dxa"/>
            <w:vAlign w:val="bottom"/>
            <w:shd w:val="clear" w:color="auto" w:fill="EBECEC"/>
          </w:tcPr>
          <w:p>
            <w:pPr>
              <w:spacing w:after="0"/>
              <w:rPr>
                <w:sz w:val="20"/>
                <w:szCs w:val="20"/>
                <w:color w:val="auto"/>
              </w:rPr>
            </w:pPr>
          </w:p>
        </w:tc>
        <w:tc>
          <w:tcPr>
            <w:tcW w:w="140" w:type="dxa"/>
            <w:vAlign w:val="bottom"/>
            <w:shd w:val="clear" w:color="auto" w:fill="EBECEC"/>
          </w:tcPr>
          <w:p>
            <w:pPr>
              <w:jc w:val="right"/>
              <w:spacing w:after="0"/>
              <w:rPr>
                <w:sz w:val="20"/>
                <w:szCs w:val="20"/>
                <w:color w:val="auto"/>
              </w:rPr>
            </w:pPr>
            <w:r>
              <w:rPr>
                <w:rFonts w:ascii="Arial" w:cs="Arial" w:eastAsia="Arial" w:hAnsi="Arial"/>
                <w:sz w:val="20"/>
                <w:szCs w:val="20"/>
                <w:color w:val="231F20"/>
                <w:w w:val="71"/>
              </w:rPr>
              <w:t>$</w:t>
            </w:r>
          </w:p>
        </w:tc>
        <w:tc>
          <w:tcPr>
            <w:tcW w:w="1360" w:type="dxa"/>
            <w:vAlign w:val="bottom"/>
            <w:shd w:val="clear" w:color="auto" w:fill="EBECEC"/>
          </w:tcPr>
          <w:p>
            <w:pPr>
              <w:jc w:val="right"/>
              <w:ind w:right="26"/>
              <w:spacing w:after="0"/>
              <w:rPr>
                <w:sz w:val="20"/>
                <w:szCs w:val="20"/>
                <w:color w:val="auto"/>
              </w:rPr>
            </w:pPr>
            <w:r>
              <w:rPr>
                <w:rFonts w:ascii="Arial" w:cs="Arial" w:eastAsia="Arial" w:hAnsi="Arial"/>
                <w:sz w:val="20"/>
                <w:szCs w:val="20"/>
                <w:color w:val="231F20"/>
              </w:rPr>
              <w:t>1,650</w:t>
            </w:r>
          </w:p>
        </w:tc>
        <w:tc>
          <w:tcPr>
            <w:tcW w:w="160" w:type="dxa"/>
            <w:vAlign w:val="bottom"/>
            <w:shd w:val="clear" w:color="auto" w:fill="EBECEC"/>
          </w:tcPr>
          <w:p>
            <w:pPr>
              <w:spacing w:after="0"/>
              <w:rPr>
                <w:sz w:val="20"/>
                <w:szCs w:val="20"/>
                <w:color w:val="auto"/>
              </w:rPr>
            </w:pPr>
          </w:p>
        </w:tc>
        <w:tc>
          <w:tcPr>
            <w:tcW w:w="140" w:type="dxa"/>
            <w:vAlign w:val="bottom"/>
            <w:shd w:val="clear" w:color="auto" w:fill="EBECEC"/>
          </w:tcPr>
          <w:p>
            <w:pPr>
              <w:jc w:val="right"/>
              <w:spacing w:after="0"/>
              <w:rPr>
                <w:sz w:val="20"/>
                <w:szCs w:val="20"/>
                <w:color w:val="auto"/>
              </w:rPr>
            </w:pPr>
            <w:r>
              <w:rPr>
                <w:rFonts w:ascii="Arial" w:cs="Arial" w:eastAsia="Arial" w:hAnsi="Arial"/>
                <w:sz w:val="20"/>
                <w:szCs w:val="20"/>
                <w:color w:val="231F20"/>
                <w:w w:val="89"/>
              </w:rPr>
              <w:t>$</w:t>
            </w:r>
          </w:p>
        </w:tc>
        <w:tc>
          <w:tcPr>
            <w:tcW w:w="134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1,974</w:t>
            </w:r>
          </w:p>
        </w:tc>
      </w:tr>
      <w:tr>
        <w:trPr>
          <w:trHeight w:val="244"/>
        </w:trPr>
        <w:tc>
          <w:tcPr>
            <w:tcW w:w="5660" w:type="dxa"/>
            <w:vAlign w:val="bottom"/>
          </w:tcPr>
          <w:p>
            <w:pPr>
              <w:spacing w:after="0"/>
              <w:rPr>
                <w:sz w:val="20"/>
                <w:szCs w:val="20"/>
                <w:color w:val="auto"/>
              </w:rPr>
            </w:pPr>
            <w:r>
              <w:rPr>
                <w:rFonts w:ascii="Arial" w:cs="Arial" w:eastAsia="Arial" w:hAnsi="Arial"/>
                <w:sz w:val="20"/>
                <w:szCs w:val="20"/>
                <w:color w:val="231F20"/>
              </w:rPr>
              <w:t>Accrued clinical trial-related expenses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26"/>
              <w:spacing w:after="0"/>
              <w:rPr>
                <w:sz w:val="20"/>
                <w:szCs w:val="20"/>
                <w:color w:val="auto"/>
              </w:rPr>
            </w:pPr>
            <w:r>
              <w:rPr>
                <w:rFonts w:ascii="Arial" w:cs="Arial" w:eastAsia="Arial" w:hAnsi="Arial"/>
                <w:sz w:val="20"/>
                <w:szCs w:val="20"/>
                <w:color w:val="231F20"/>
              </w:rPr>
              <w:t>268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231F20"/>
              </w:rPr>
              <w:t>2,377</w:t>
            </w:r>
          </w:p>
        </w:tc>
      </w:tr>
      <w:tr>
        <w:trPr>
          <w:trHeight w:val="244"/>
        </w:trPr>
        <w:tc>
          <w:tcPr>
            <w:tcW w:w="5660" w:type="dxa"/>
            <w:vAlign w:val="bottom"/>
            <w:shd w:val="clear" w:color="auto" w:fill="EBECEC"/>
          </w:tcPr>
          <w:p>
            <w:pPr>
              <w:spacing w:after="0"/>
              <w:rPr>
                <w:sz w:val="20"/>
                <w:szCs w:val="20"/>
                <w:color w:val="auto"/>
              </w:rPr>
            </w:pPr>
            <w:r>
              <w:rPr>
                <w:rFonts w:ascii="Arial" w:cs="Arial" w:eastAsia="Arial" w:hAnsi="Arial"/>
                <w:sz w:val="20"/>
                <w:szCs w:val="20"/>
                <w:color w:val="231F20"/>
              </w:rPr>
              <w:t>Accrued professional services expenses</w:t>
            </w:r>
          </w:p>
        </w:tc>
        <w:tc>
          <w:tcPr>
            <w:tcW w:w="92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1360" w:type="dxa"/>
            <w:vAlign w:val="bottom"/>
            <w:shd w:val="clear" w:color="auto" w:fill="EBECEC"/>
          </w:tcPr>
          <w:p>
            <w:pPr>
              <w:jc w:val="right"/>
              <w:ind w:right="26"/>
              <w:spacing w:after="0"/>
              <w:rPr>
                <w:sz w:val="20"/>
                <w:szCs w:val="20"/>
                <w:color w:val="auto"/>
              </w:rPr>
            </w:pPr>
            <w:r>
              <w:rPr>
                <w:rFonts w:ascii="Arial" w:cs="Arial" w:eastAsia="Arial" w:hAnsi="Arial"/>
                <w:sz w:val="20"/>
                <w:szCs w:val="20"/>
                <w:color w:val="231F20"/>
              </w:rPr>
              <w:t>84</w:t>
            </w:r>
          </w:p>
        </w:tc>
        <w:tc>
          <w:tcPr>
            <w:tcW w:w="16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134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52</w:t>
            </w:r>
          </w:p>
        </w:tc>
      </w:tr>
      <w:tr>
        <w:trPr>
          <w:trHeight w:val="244"/>
        </w:trPr>
        <w:tc>
          <w:tcPr>
            <w:tcW w:w="5660" w:type="dxa"/>
            <w:vAlign w:val="bottom"/>
            <w:tcBorders>
              <w:bottom w:val="single" w:sz="8" w:color="EBECEC"/>
            </w:tcBorders>
          </w:tcPr>
          <w:p>
            <w:pPr>
              <w:spacing w:after="0"/>
              <w:rPr>
                <w:sz w:val="20"/>
                <w:szCs w:val="20"/>
                <w:color w:val="auto"/>
              </w:rPr>
            </w:pPr>
            <w:r>
              <w:rPr>
                <w:rFonts w:ascii="Arial" w:cs="Arial" w:eastAsia="Arial" w:hAnsi="Arial"/>
                <w:sz w:val="20"/>
                <w:szCs w:val="20"/>
                <w:color w:val="231F20"/>
              </w:rPr>
              <w:t>Other</w:t>
            </w:r>
          </w:p>
        </w:tc>
        <w:tc>
          <w:tcPr>
            <w:tcW w:w="920" w:type="dxa"/>
            <w:vAlign w:val="bottom"/>
            <w:tcBorders>
              <w:bottom w:val="single" w:sz="8" w:color="EBEC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tcPr>
          <w:p>
            <w:pPr>
              <w:jc w:val="right"/>
              <w:ind w:right="26"/>
              <w:spacing w:after="0"/>
              <w:rPr>
                <w:sz w:val="20"/>
                <w:szCs w:val="20"/>
                <w:color w:val="auto"/>
              </w:rPr>
            </w:pPr>
            <w:r>
              <w:rPr>
                <w:rFonts w:ascii="Arial" w:cs="Arial" w:eastAsia="Arial" w:hAnsi="Arial"/>
                <w:sz w:val="20"/>
                <w:szCs w:val="20"/>
                <w:color w:val="231F20"/>
              </w:rPr>
              <w:t>50</w:t>
            </w:r>
          </w:p>
        </w:tc>
        <w:tc>
          <w:tcPr>
            <w:tcW w:w="160" w:type="dxa"/>
            <w:vAlign w:val="bottom"/>
            <w:tcBorders>
              <w:bottom w:val="single" w:sz="8" w:color="EBEC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3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51</w:t>
            </w:r>
          </w:p>
        </w:tc>
      </w:tr>
      <w:tr>
        <w:trPr>
          <w:trHeight w:val="239"/>
        </w:trPr>
        <w:tc>
          <w:tcPr>
            <w:tcW w:w="5660" w:type="dxa"/>
            <w:vAlign w:val="bottom"/>
            <w:shd w:val="clear" w:color="auto" w:fill="EBECEC"/>
          </w:tcPr>
          <w:p>
            <w:pPr>
              <w:spacing w:after="0"/>
              <w:rPr>
                <w:sz w:val="20"/>
                <w:szCs w:val="20"/>
                <w:color w:val="auto"/>
              </w:rPr>
            </w:pPr>
            <w:r>
              <w:rPr>
                <w:rFonts w:ascii="Arial" w:cs="Arial" w:eastAsia="Arial" w:hAnsi="Arial"/>
                <w:sz w:val="20"/>
                <w:szCs w:val="20"/>
                <w:color w:val="231F20"/>
              </w:rPr>
              <w:t>Total accrued liabilities</w:t>
            </w:r>
          </w:p>
        </w:tc>
        <w:tc>
          <w:tcPr>
            <w:tcW w:w="920" w:type="dxa"/>
            <w:vAlign w:val="bottom"/>
            <w:shd w:val="clear" w:color="auto" w:fill="EBECEC"/>
          </w:tcPr>
          <w:p>
            <w:pPr>
              <w:spacing w:after="0"/>
              <w:rPr>
                <w:sz w:val="20"/>
                <w:szCs w:val="20"/>
                <w:color w:val="auto"/>
              </w:rPr>
            </w:pPr>
          </w:p>
        </w:tc>
        <w:tc>
          <w:tcPr>
            <w:tcW w:w="14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w w:val="71"/>
              </w:rPr>
              <w:t>$</w:t>
            </w:r>
          </w:p>
        </w:tc>
        <w:tc>
          <w:tcPr>
            <w:tcW w:w="1360" w:type="dxa"/>
            <w:vAlign w:val="bottom"/>
            <w:tcBorders>
              <w:bottom w:val="single" w:sz="8" w:color="231F20"/>
            </w:tcBorders>
            <w:shd w:val="clear" w:color="auto" w:fill="EBECEC"/>
          </w:tcPr>
          <w:p>
            <w:pPr>
              <w:jc w:val="right"/>
              <w:ind w:right="26"/>
              <w:spacing w:after="0"/>
              <w:rPr>
                <w:sz w:val="20"/>
                <w:szCs w:val="20"/>
                <w:color w:val="auto"/>
              </w:rPr>
            </w:pPr>
            <w:r>
              <w:rPr>
                <w:rFonts w:ascii="Arial" w:cs="Arial" w:eastAsia="Arial" w:hAnsi="Arial"/>
                <w:sz w:val="20"/>
                <w:szCs w:val="20"/>
                <w:color w:val="231F20"/>
              </w:rPr>
              <w:t>2,052</w:t>
            </w:r>
          </w:p>
        </w:tc>
        <w:tc>
          <w:tcPr>
            <w:tcW w:w="160" w:type="dxa"/>
            <w:vAlign w:val="bottom"/>
            <w:shd w:val="clear" w:color="auto" w:fill="EBECEC"/>
          </w:tcPr>
          <w:p>
            <w:pPr>
              <w:spacing w:after="0"/>
              <w:rPr>
                <w:sz w:val="20"/>
                <w:szCs w:val="20"/>
                <w:color w:val="auto"/>
              </w:rPr>
            </w:pPr>
          </w:p>
        </w:tc>
        <w:tc>
          <w:tcPr>
            <w:tcW w:w="14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w w:val="89"/>
              </w:rPr>
              <w:t>$</w:t>
            </w:r>
          </w:p>
        </w:tc>
        <w:tc>
          <w:tcPr>
            <w:tcW w:w="134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4,454</w:t>
            </w:r>
          </w:p>
        </w:tc>
      </w:tr>
      <w:tr>
        <w:trPr>
          <w:trHeight w:val="20"/>
        </w:trPr>
        <w:tc>
          <w:tcPr>
            <w:tcW w:w="5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7. Commitments and Contingencies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Contingencies</w:t>
      </w:r>
    </w:p>
    <w:p>
      <w:pPr>
        <w:spacing w:after="0" w:line="116"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231F20"/>
        </w:rPr>
        <w:t>From time to time, the Company may become involved in legal proceedings arising in the ordinary course of business. The Company was not subject to any material legal proceedings as of December 31, 2025 and 2024, and the Company is not currently a party to any legal proceeding that, if determined adversely to the Company, in management’s opinion, is currently expected to individually or in the aggregate have a material adverse effect on the Company’s business, financial condition or results of operations taken as a whole.</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Guarantees and Indemnifications</w:t>
      </w:r>
    </w:p>
    <w:p>
      <w:pPr>
        <w:spacing w:after="0" w:line="116"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231F20"/>
        </w:rPr>
        <w:t>The Company, as permitted under Delaware law and in accordance with its certification of incorporation, as amended, and bylaws, and pursuant to indemnification agreements with certain of its officers and directors, indemnifies its officers and directors for certain events or occurrences, subject to certain limits, which the officer or director is or was serving at the Company’s request in such capacity. The term of the indemnification period lasts as long as an officer or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limits the Company’s exposure and may enable it to recover a portion of any future amounts paid. The Company believes that the fair value of these indemnification obligations is minimal. Accordingly, the Company has not recognized any liabilities relating to these obligations for any period presented.</w:t>
      </w:r>
    </w:p>
    <w:p>
      <w:pPr>
        <w:sectPr>
          <w:pgSz w:w="11880" w:h="15480" w:orient="portrait"/>
          <w:cols w:equalWidth="0" w:num="1">
            <w:col w:w="10780"/>
          </w:cols>
          <w:pgMar w:left="540" w:top="756" w:right="5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F-18</w:t>
      </w:r>
    </w:p>
    <w:p>
      <w:pPr>
        <w:sectPr>
          <w:pgSz w:w="11880" w:h="15480" w:orient="portrait"/>
          <w:cols w:equalWidth="0" w:num="1">
            <w:col w:w="10780"/>
          </w:cols>
          <w:pgMar w:left="540" w:top="756" w:right="560" w:bottom="6"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Adjuvant Global Health Agreement</w:t>
      </w:r>
    </w:p>
    <w:p>
      <w:pPr>
        <w:spacing w:after="0" w:line="116"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231F20"/>
        </w:rPr>
        <w:t>In conjunction with Adjuvant Global Health Technology Fund L.P.’s (“Adjuvant”) investment in the Company in 2019 and 2020, the Company entered into a Global Health Agreement with Adjuvant, pursuant to which the Company agreed to support the creation of innovative and affordable drugs to treat disease, through public health programs and private purchasers in Low and Lower-Middle-Income Countries (as such terms are defined by the World Bank and in the agreement).</w:t>
      </w:r>
    </w:p>
    <w:p>
      <w:pPr>
        <w:spacing w:after="0" w:line="192" w:lineRule="exact"/>
        <w:rPr>
          <w:sz w:val="20"/>
          <w:szCs w:val="20"/>
          <w:color w:val="auto"/>
        </w:rPr>
      </w:pPr>
    </w:p>
    <w:p>
      <w:pPr>
        <w:ind w:right="80" w:firstLine="490"/>
        <w:spacing w:after="0" w:line="250" w:lineRule="auto"/>
        <w:rPr>
          <w:sz w:val="20"/>
          <w:szCs w:val="20"/>
          <w:color w:val="auto"/>
        </w:rPr>
      </w:pPr>
      <w:r>
        <w:rPr>
          <w:rFonts w:ascii="Arial" w:cs="Arial" w:eastAsia="Arial" w:hAnsi="Arial"/>
          <w:sz w:val="20"/>
          <w:szCs w:val="20"/>
          <w:color w:val="231F20"/>
        </w:rPr>
        <w:t>Adjuvant’s investment supports the development of the Company’s product candidate, epetraborole, for use in melioidosis-endemic and melioidosis-at-risk countries and in tuberculosis-endemic and tuberculosis-at-risk countries, as defined in the agreement as amended and restated. These global access commitments will remain in effect until the latter of either that Adjuvant ceases to be a shareholder of the Company, or ten years following epetraborole approval for the treatment of melioidosis by a regulatory authority.</w:t>
      </w:r>
    </w:p>
    <w:p>
      <w:pPr>
        <w:spacing w:after="0" w:line="192"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231F20"/>
        </w:rPr>
        <w:t>The Global Health Agreement contains various affirmative and negative covenants agreed to by the Company, including its use of reasonably diligent endeavors to develop the agreed-upon products using non-dilutive funding and make accessible to people in need in the target countries so long as the Company does not sell products at a loss. Other covenants include prohibition of use of investment for propaganda, attempt to influence legislation, influence of any public election or voter registration drive or promotion of terrorist activities, as well as compliance with certain environmental, social and governance requirements and anti-corruption requirements.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8. Equity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Common Stock</w:t>
      </w:r>
    </w:p>
    <w:p>
      <w:pPr>
        <w:spacing w:after="0" w:line="116" w:lineRule="exact"/>
        <w:rPr>
          <w:sz w:val="20"/>
          <w:szCs w:val="20"/>
          <w:color w:val="auto"/>
        </w:rPr>
      </w:pPr>
    </w:p>
    <w:p>
      <w:pPr>
        <w:ind w:firstLine="490"/>
        <w:spacing w:after="0" w:line="261" w:lineRule="auto"/>
        <w:rPr>
          <w:sz w:val="20"/>
          <w:szCs w:val="20"/>
          <w:color w:val="auto"/>
        </w:rPr>
      </w:pPr>
      <w:r>
        <w:rPr>
          <w:rFonts w:ascii="Arial" w:cs="Arial" w:eastAsia="Arial" w:hAnsi="Arial"/>
          <w:sz w:val="20"/>
          <w:szCs w:val="20"/>
          <w:color w:val="231F20"/>
        </w:rPr>
        <w:t>The Company’s certificate of incorporation, as amended, authorizes the Company to issue up to 500,000,000 shares of $0.00001 par value common stock. Holders of common stock are entitled to one vote per share on all matters to be voted upon by the stockholders of the Company.</w:t>
      </w:r>
    </w:p>
    <w:p>
      <w:pPr>
        <w:spacing w:after="0" w:line="180" w:lineRule="exact"/>
        <w:rPr>
          <w:sz w:val="20"/>
          <w:szCs w:val="20"/>
          <w:color w:val="auto"/>
        </w:rPr>
      </w:pPr>
    </w:p>
    <w:p>
      <w:pPr>
        <w:ind w:right="120" w:firstLine="490"/>
        <w:spacing w:after="0" w:line="261" w:lineRule="auto"/>
        <w:rPr>
          <w:sz w:val="20"/>
          <w:szCs w:val="20"/>
          <w:color w:val="auto"/>
        </w:rPr>
      </w:pPr>
      <w:r>
        <w:rPr>
          <w:rFonts w:ascii="Arial" w:cs="Arial" w:eastAsia="Arial" w:hAnsi="Arial"/>
          <w:sz w:val="20"/>
          <w:szCs w:val="20"/>
          <w:color w:val="231F20"/>
        </w:rPr>
        <w:t>Subject to the preferences that may be applicable to any outstanding shares of preferred stock, the holders of common stock are entitled to receive ratably such dividends, if any, as may be declared by the Board. No dividends have been declared to date.</w:t>
      </w:r>
    </w:p>
    <w:p>
      <w:pPr>
        <w:spacing w:after="0" w:line="180"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231F20"/>
        </w:rPr>
        <w:t>In April 2023, the Company entered into a Sales Agreement with Cowen and Company, LLC as the Company’s Agent, to issue and sell up to an aggregate gross sales of $100.0 million in Shares of the Company’s common stock through the ATM Offering. During the year ended December 31, 2023, the Company issued and sold 2,502,000 shares of common stock under the ATM Offering, resulting in net proceeds of $19.1 million, after deducting commissions and other offering costs. The Company did not sell any shares of common stock through the ATM Offering during the years ended December 31, 2025 or 2024.</w:t>
      </w:r>
    </w:p>
    <w:p>
      <w:pPr>
        <w:spacing w:after="0" w:line="194"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231F20"/>
        </w:rPr>
        <w:t>In August 2023, the Company entered into an Underwriting Agreement with Cowen and Company, LLC, Leerink Partners LLC and Evercore Group L.L.C. as representatives of several underwriters to issue and sell 7,777,778 shares of common stock at an offering price of $9.00 per share through the Underwritten Offering, resulting in net proceeds of $65.5 million, after deducting commissions and other offering costs.</w:t>
      </w:r>
    </w:p>
    <w:p>
      <w:pPr>
        <w:spacing w:after="0" w:line="186" w:lineRule="exact"/>
        <w:rPr>
          <w:sz w:val="20"/>
          <w:szCs w:val="20"/>
          <w:color w:val="auto"/>
        </w:rPr>
      </w:pPr>
    </w:p>
    <w:p>
      <w:pPr>
        <w:ind w:right="320" w:firstLine="490"/>
        <w:spacing w:after="0" w:line="282" w:lineRule="auto"/>
        <w:rPr>
          <w:sz w:val="20"/>
          <w:szCs w:val="20"/>
          <w:color w:val="auto"/>
        </w:rPr>
      </w:pPr>
      <w:r>
        <w:rPr>
          <w:rFonts w:ascii="Arial" w:cs="Arial" w:eastAsia="Arial" w:hAnsi="Arial"/>
          <w:sz w:val="20"/>
          <w:szCs w:val="20"/>
          <w:color w:val="231F20"/>
        </w:rPr>
        <w:t>Shares of common stock reserved for future issuance, on an as-if-converted basis, as of December 31, 2025 and 2024,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80" w:type="dxa"/>
            <w:vAlign w:val="bottom"/>
          </w:tcPr>
          <w:p>
            <w:pPr>
              <w:jc w:val="right"/>
              <w:ind w:right="385"/>
              <w:spacing w:after="0"/>
              <w:rPr>
                <w:sz w:val="20"/>
                <w:szCs w:val="20"/>
                <w:color w:val="auto"/>
              </w:rPr>
            </w:pPr>
            <w:r>
              <w:rPr>
                <w:rFonts w:ascii="Arial" w:cs="Arial" w:eastAsia="Arial" w:hAnsi="Arial"/>
                <w:sz w:val="16"/>
                <w:szCs w:val="16"/>
                <w:b w:val="1"/>
                <w:bCs w:val="1"/>
                <w:color w:val="231F20"/>
              </w:rPr>
              <w:t>December 31,</w:t>
            </w:r>
          </w:p>
        </w:tc>
        <w:tc>
          <w:tcPr>
            <w:tcW w:w="160" w:type="dxa"/>
            <w:vAlign w:val="bottom"/>
          </w:tcPr>
          <w:p>
            <w:pPr>
              <w:spacing w:after="0"/>
              <w:rPr>
                <w:sz w:val="17"/>
                <w:szCs w:val="17"/>
                <w:color w:val="auto"/>
              </w:rPr>
            </w:pPr>
          </w:p>
        </w:tc>
        <w:tc>
          <w:tcPr>
            <w:tcW w:w="1840" w:type="dxa"/>
            <w:vAlign w:val="bottom"/>
          </w:tcPr>
          <w:p>
            <w:pPr>
              <w:jc w:val="right"/>
              <w:ind w:right="345"/>
              <w:spacing w:after="0"/>
              <w:rPr>
                <w:sz w:val="20"/>
                <w:szCs w:val="20"/>
                <w:color w:val="auto"/>
              </w:rPr>
            </w:pPr>
            <w:r>
              <w:rPr>
                <w:rFonts w:ascii="Arial" w:cs="Arial" w:eastAsia="Arial" w:hAnsi="Arial"/>
                <w:sz w:val="16"/>
                <w:szCs w:val="16"/>
                <w:b w:val="1"/>
                <w:bCs w:val="1"/>
                <w:color w:val="231F20"/>
              </w:rPr>
              <w:t>December 31,</w:t>
            </w:r>
          </w:p>
        </w:tc>
      </w:tr>
      <w:tr>
        <w:trPr>
          <w:trHeight w:val="203"/>
        </w:trPr>
        <w:tc>
          <w:tcPr>
            <w:tcW w:w="4580" w:type="dxa"/>
            <w:vAlign w:val="bottom"/>
          </w:tcPr>
          <w:p>
            <w:pPr>
              <w:spacing w:after="0"/>
              <w:rPr>
                <w:sz w:val="17"/>
                <w:szCs w:val="17"/>
                <w:color w:val="auto"/>
              </w:rPr>
            </w:pPr>
          </w:p>
        </w:tc>
        <w:tc>
          <w:tcPr>
            <w:tcW w:w="4220" w:type="dxa"/>
            <w:vAlign w:val="bottom"/>
            <w:gridSpan w:val="2"/>
          </w:tcPr>
          <w:p>
            <w:pPr>
              <w:jc w:val="right"/>
              <w:ind w:right="725"/>
              <w:spacing w:after="0"/>
              <w:rPr>
                <w:sz w:val="20"/>
                <w:szCs w:val="20"/>
                <w:color w:val="auto"/>
              </w:rPr>
            </w:pPr>
            <w:r>
              <w:rPr>
                <w:rFonts w:ascii="Arial" w:cs="Arial" w:eastAsia="Arial" w:hAnsi="Arial"/>
                <w:sz w:val="16"/>
                <w:szCs w:val="16"/>
                <w:b w:val="1"/>
                <w:bCs w:val="1"/>
                <w:color w:val="231F20"/>
              </w:rPr>
              <w:t>2025</w:t>
            </w:r>
          </w:p>
        </w:tc>
        <w:tc>
          <w:tcPr>
            <w:tcW w:w="2000" w:type="dxa"/>
            <w:vAlign w:val="bottom"/>
            <w:gridSpan w:val="2"/>
          </w:tcPr>
          <w:p>
            <w:pPr>
              <w:jc w:val="right"/>
              <w:ind w:right="685"/>
              <w:spacing w:after="0"/>
              <w:rPr>
                <w:sz w:val="20"/>
                <w:szCs w:val="20"/>
                <w:color w:val="auto"/>
              </w:rPr>
            </w:pPr>
            <w:r>
              <w:rPr>
                <w:rFonts w:ascii="Arial" w:cs="Arial" w:eastAsia="Arial" w:hAnsi="Arial"/>
                <w:sz w:val="16"/>
                <w:szCs w:val="16"/>
                <w:b w:val="1"/>
                <w:bCs w:val="1"/>
                <w:color w:val="231F20"/>
              </w:rPr>
              <w:t>2024</w:t>
            </w:r>
          </w:p>
        </w:tc>
      </w:tr>
      <w:tr>
        <w:trPr>
          <w:trHeight w:val="239"/>
        </w:trPr>
        <w:tc>
          <w:tcPr>
            <w:tcW w:w="4580" w:type="dxa"/>
            <w:vAlign w:val="bottom"/>
            <w:tcBorders>
              <w:top w:val="single" w:sz="8" w:color="EBECEC"/>
            </w:tcBorders>
            <w:shd w:val="clear" w:color="auto" w:fill="EBECEC"/>
          </w:tcPr>
          <w:p>
            <w:pPr>
              <w:spacing w:after="0"/>
              <w:rPr>
                <w:sz w:val="20"/>
                <w:szCs w:val="20"/>
                <w:color w:val="auto"/>
              </w:rPr>
            </w:pPr>
            <w:r>
              <w:rPr>
                <w:rFonts w:ascii="Arial" w:cs="Arial" w:eastAsia="Arial" w:hAnsi="Arial"/>
                <w:sz w:val="20"/>
                <w:szCs w:val="20"/>
                <w:color w:val="231F20"/>
              </w:rPr>
              <w:t>Stock options, issued and outstanding</w:t>
            </w:r>
          </w:p>
        </w:tc>
        <w:tc>
          <w:tcPr>
            <w:tcW w:w="2340" w:type="dxa"/>
            <w:vAlign w:val="bottom"/>
            <w:tcBorders>
              <w:top w:val="single" w:sz="8" w:color="EBECEC"/>
            </w:tcBorders>
            <w:shd w:val="clear" w:color="auto" w:fill="EBECEC"/>
          </w:tcPr>
          <w:p>
            <w:pPr>
              <w:spacing w:after="0"/>
              <w:rPr>
                <w:sz w:val="20"/>
                <w:szCs w:val="20"/>
                <w:color w:val="auto"/>
              </w:rPr>
            </w:pPr>
          </w:p>
        </w:tc>
        <w:tc>
          <w:tcPr>
            <w:tcW w:w="1880" w:type="dxa"/>
            <w:vAlign w:val="bottom"/>
            <w:tcBorders>
              <w:top w:val="single" w:sz="8" w:color="231F20"/>
            </w:tcBorders>
            <w:shd w:val="clear" w:color="auto" w:fill="EBECEC"/>
          </w:tcPr>
          <w:p>
            <w:pPr>
              <w:jc w:val="right"/>
              <w:ind w:right="45"/>
              <w:spacing w:after="0"/>
              <w:rPr>
                <w:sz w:val="20"/>
                <w:szCs w:val="20"/>
                <w:color w:val="auto"/>
              </w:rPr>
            </w:pPr>
            <w:r>
              <w:rPr>
                <w:rFonts w:ascii="Arial" w:cs="Arial" w:eastAsia="Arial" w:hAnsi="Arial"/>
                <w:sz w:val="20"/>
                <w:szCs w:val="20"/>
                <w:color w:val="231F20"/>
              </w:rPr>
              <w:t>5,466,222</w:t>
            </w:r>
          </w:p>
        </w:tc>
        <w:tc>
          <w:tcPr>
            <w:tcW w:w="160" w:type="dxa"/>
            <w:vAlign w:val="bottom"/>
            <w:tcBorders>
              <w:top w:val="single" w:sz="8" w:color="EBECEC"/>
            </w:tcBorders>
            <w:shd w:val="clear" w:color="auto" w:fill="EBECEC"/>
          </w:tcPr>
          <w:p>
            <w:pPr>
              <w:spacing w:after="0"/>
              <w:rPr>
                <w:sz w:val="20"/>
                <w:szCs w:val="20"/>
                <w:color w:val="auto"/>
              </w:rPr>
            </w:pPr>
          </w:p>
        </w:tc>
        <w:tc>
          <w:tcPr>
            <w:tcW w:w="1840" w:type="dxa"/>
            <w:vAlign w:val="bottom"/>
            <w:tcBorders>
              <w:top w:val="single" w:sz="8" w:color="231F20"/>
            </w:tcBorders>
            <w:shd w:val="clear" w:color="auto" w:fill="EBECEC"/>
          </w:tcPr>
          <w:p>
            <w:pPr>
              <w:jc w:val="right"/>
              <w:ind w:right="5"/>
              <w:spacing w:after="0"/>
              <w:rPr>
                <w:sz w:val="20"/>
                <w:szCs w:val="20"/>
                <w:color w:val="auto"/>
              </w:rPr>
            </w:pPr>
            <w:r>
              <w:rPr>
                <w:rFonts w:ascii="Arial" w:cs="Arial" w:eastAsia="Arial" w:hAnsi="Arial"/>
                <w:sz w:val="20"/>
                <w:szCs w:val="20"/>
                <w:color w:val="231F20"/>
              </w:rPr>
              <w:t>4,890,843</w:t>
            </w:r>
          </w:p>
        </w:tc>
      </w:tr>
      <w:tr>
        <w:trPr>
          <w:trHeight w:val="244"/>
        </w:trPr>
        <w:tc>
          <w:tcPr>
            <w:tcW w:w="4580" w:type="dxa"/>
            <w:vAlign w:val="bottom"/>
          </w:tcPr>
          <w:p>
            <w:pPr>
              <w:spacing w:after="0"/>
              <w:rPr>
                <w:sz w:val="20"/>
                <w:szCs w:val="20"/>
                <w:color w:val="auto"/>
              </w:rPr>
            </w:pPr>
            <w:r>
              <w:rPr>
                <w:rFonts w:ascii="Arial" w:cs="Arial" w:eastAsia="Arial" w:hAnsi="Arial"/>
                <w:sz w:val="20"/>
                <w:szCs w:val="20"/>
                <w:color w:val="231F20"/>
              </w:rPr>
              <w:t>Pre-funded warrants</w:t>
            </w:r>
          </w:p>
        </w:tc>
        <w:tc>
          <w:tcPr>
            <w:tcW w:w="2340" w:type="dxa"/>
            <w:vAlign w:val="bottom"/>
          </w:tcPr>
          <w:p>
            <w:pPr>
              <w:spacing w:after="0"/>
              <w:rPr>
                <w:sz w:val="21"/>
                <w:szCs w:val="21"/>
                <w:color w:val="auto"/>
              </w:rPr>
            </w:pPr>
          </w:p>
        </w:tc>
        <w:tc>
          <w:tcPr>
            <w:tcW w:w="1880" w:type="dxa"/>
            <w:vAlign w:val="bottom"/>
          </w:tcPr>
          <w:p>
            <w:pPr>
              <w:jc w:val="right"/>
              <w:ind w:right="45"/>
              <w:spacing w:after="0"/>
              <w:rPr>
                <w:sz w:val="20"/>
                <w:szCs w:val="20"/>
                <w:color w:val="auto"/>
              </w:rPr>
            </w:pPr>
            <w:r>
              <w:rPr>
                <w:rFonts w:ascii="Arial" w:cs="Arial" w:eastAsia="Arial" w:hAnsi="Arial"/>
                <w:sz w:val="20"/>
                <w:szCs w:val="20"/>
                <w:color w:val="231F20"/>
              </w:rPr>
              <w:t>2,952,000</w:t>
            </w:r>
          </w:p>
        </w:tc>
        <w:tc>
          <w:tcPr>
            <w:tcW w:w="160" w:type="dxa"/>
            <w:vAlign w:val="bottom"/>
          </w:tcPr>
          <w:p>
            <w:pPr>
              <w:spacing w:after="0"/>
              <w:rPr>
                <w:sz w:val="21"/>
                <w:szCs w:val="21"/>
                <w:color w:val="auto"/>
              </w:rPr>
            </w:pPr>
          </w:p>
        </w:tc>
        <w:tc>
          <w:tcPr>
            <w:tcW w:w="1840" w:type="dxa"/>
            <w:vAlign w:val="bottom"/>
          </w:tcPr>
          <w:p>
            <w:pPr>
              <w:jc w:val="right"/>
              <w:ind w:right="5"/>
              <w:spacing w:after="0"/>
              <w:rPr>
                <w:sz w:val="20"/>
                <w:szCs w:val="20"/>
                <w:color w:val="auto"/>
              </w:rPr>
            </w:pPr>
            <w:r>
              <w:rPr>
                <w:rFonts w:ascii="Arial" w:cs="Arial" w:eastAsia="Arial" w:hAnsi="Arial"/>
                <w:sz w:val="20"/>
                <w:szCs w:val="20"/>
                <w:color w:val="231F20"/>
              </w:rPr>
              <w:t>—</w:t>
            </w:r>
          </w:p>
        </w:tc>
      </w:tr>
      <w:tr>
        <w:trPr>
          <w:trHeight w:val="244"/>
        </w:trPr>
        <w:tc>
          <w:tcPr>
            <w:tcW w:w="4580" w:type="dxa"/>
            <w:vAlign w:val="bottom"/>
            <w:shd w:val="clear" w:color="auto" w:fill="EBECEC"/>
          </w:tcPr>
          <w:p>
            <w:pPr>
              <w:spacing w:after="0"/>
              <w:rPr>
                <w:sz w:val="20"/>
                <w:szCs w:val="20"/>
                <w:color w:val="auto"/>
              </w:rPr>
            </w:pPr>
            <w:r>
              <w:rPr>
                <w:rFonts w:ascii="Arial" w:cs="Arial" w:eastAsia="Arial" w:hAnsi="Arial"/>
                <w:sz w:val="20"/>
                <w:szCs w:val="20"/>
                <w:color w:val="231F20"/>
              </w:rPr>
              <w:t>Unvested restricted stock units</w:t>
            </w:r>
          </w:p>
        </w:tc>
        <w:tc>
          <w:tcPr>
            <w:tcW w:w="4220" w:type="dxa"/>
            <w:vAlign w:val="bottom"/>
            <w:gridSpan w:val="2"/>
            <w:shd w:val="clear" w:color="auto" w:fill="EBECEC"/>
          </w:tcPr>
          <w:p>
            <w:pPr>
              <w:jc w:val="right"/>
              <w:ind w:right="45"/>
              <w:spacing w:after="0"/>
              <w:rPr>
                <w:sz w:val="20"/>
                <w:szCs w:val="20"/>
                <w:color w:val="auto"/>
              </w:rPr>
            </w:pPr>
            <w:r>
              <w:rPr>
                <w:rFonts w:ascii="Arial" w:cs="Arial" w:eastAsia="Arial" w:hAnsi="Arial"/>
                <w:sz w:val="20"/>
                <w:szCs w:val="20"/>
                <w:color w:val="231F20"/>
              </w:rPr>
              <w:t>856,160</w:t>
            </w:r>
          </w:p>
        </w:tc>
        <w:tc>
          <w:tcPr>
            <w:tcW w:w="2000" w:type="dxa"/>
            <w:vAlign w:val="bottom"/>
            <w:gridSpan w:val="2"/>
            <w:shd w:val="clear" w:color="auto" w:fill="EBECEC"/>
          </w:tcPr>
          <w:p>
            <w:pPr>
              <w:jc w:val="right"/>
              <w:ind w:right="5"/>
              <w:spacing w:after="0"/>
              <w:rPr>
                <w:sz w:val="20"/>
                <w:szCs w:val="20"/>
                <w:color w:val="auto"/>
              </w:rPr>
            </w:pPr>
            <w:r>
              <w:rPr>
                <w:rFonts w:ascii="Arial" w:cs="Arial" w:eastAsia="Arial" w:hAnsi="Arial"/>
                <w:sz w:val="20"/>
                <w:szCs w:val="20"/>
                <w:color w:val="231F20"/>
              </w:rPr>
              <w:t>516,511</w:t>
            </w:r>
          </w:p>
        </w:tc>
      </w:tr>
      <w:tr>
        <w:trPr>
          <w:trHeight w:val="244"/>
        </w:trPr>
        <w:tc>
          <w:tcPr>
            <w:tcW w:w="4580" w:type="dxa"/>
            <w:vAlign w:val="bottom"/>
          </w:tcPr>
          <w:p>
            <w:pPr>
              <w:spacing w:after="0"/>
              <w:rPr>
                <w:sz w:val="20"/>
                <w:szCs w:val="20"/>
                <w:color w:val="auto"/>
              </w:rPr>
            </w:pPr>
            <w:r>
              <w:rPr>
                <w:rFonts w:ascii="Arial" w:cs="Arial" w:eastAsia="Arial" w:hAnsi="Arial"/>
                <w:sz w:val="20"/>
                <w:szCs w:val="20"/>
                <w:color w:val="231F20"/>
              </w:rPr>
              <w:t>ESPP, authorized for future issuance</w:t>
            </w:r>
          </w:p>
        </w:tc>
        <w:tc>
          <w:tcPr>
            <w:tcW w:w="4220" w:type="dxa"/>
            <w:vAlign w:val="bottom"/>
            <w:gridSpan w:val="2"/>
          </w:tcPr>
          <w:p>
            <w:pPr>
              <w:jc w:val="right"/>
              <w:ind w:right="45"/>
              <w:spacing w:after="0"/>
              <w:rPr>
                <w:sz w:val="20"/>
                <w:szCs w:val="20"/>
                <w:color w:val="auto"/>
              </w:rPr>
            </w:pPr>
            <w:r>
              <w:rPr>
                <w:rFonts w:ascii="Arial" w:cs="Arial" w:eastAsia="Arial" w:hAnsi="Arial"/>
                <w:sz w:val="20"/>
                <w:szCs w:val="20"/>
                <w:color w:val="231F20"/>
              </w:rPr>
              <w:t>775,882</w:t>
            </w:r>
          </w:p>
        </w:tc>
        <w:tc>
          <w:tcPr>
            <w:tcW w:w="2000" w:type="dxa"/>
            <w:vAlign w:val="bottom"/>
            <w:gridSpan w:val="2"/>
          </w:tcPr>
          <w:p>
            <w:pPr>
              <w:jc w:val="right"/>
              <w:ind w:right="5"/>
              <w:spacing w:after="0"/>
              <w:rPr>
                <w:sz w:val="20"/>
                <w:szCs w:val="20"/>
                <w:color w:val="auto"/>
              </w:rPr>
            </w:pPr>
            <w:r>
              <w:rPr>
                <w:rFonts w:ascii="Arial" w:cs="Arial" w:eastAsia="Arial" w:hAnsi="Arial"/>
                <w:sz w:val="20"/>
                <w:szCs w:val="20"/>
                <w:color w:val="231F20"/>
              </w:rPr>
              <w:t>563,731</w:t>
            </w:r>
          </w:p>
        </w:tc>
      </w:tr>
      <w:tr>
        <w:trPr>
          <w:trHeight w:val="244"/>
        </w:trPr>
        <w:tc>
          <w:tcPr>
            <w:tcW w:w="4580" w:type="dxa"/>
            <w:vAlign w:val="bottom"/>
            <w:shd w:val="clear" w:color="auto" w:fill="EBECEC"/>
          </w:tcPr>
          <w:p>
            <w:pPr>
              <w:spacing w:after="0"/>
              <w:rPr>
                <w:sz w:val="20"/>
                <w:szCs w:val="20"/>
                <w:color w:val="auto"/>
              </w:rPr>
            </w:pPr>
            <w:r>
              <w:rPr>
                <w:rFonts w:ascii="Arial" w:cs="Arial" w:eastAsia="Arial" w:hAnsi="Arial"/>
                <w:sz w:val="20"/>
                <w:szCs w:val="20"/>
                <w:color w:val="231F20"/>
              </w:rPr>
              <w:t>Stock options, authorized for future issuance</w:t>
            </w:r>
          </w:p>
        </w:tc>
        <w:tc>
          <w:tcPr>
            <w:tcW w:w="4220" w:type="dxa"/>
            <w:vAlign w:val="bottom"/>
            <w:gridSpan w:val="2"/>
            <w:shd w:val="clear" w:color="auto" w:fill="EBECEC"/>
          </w:tcPr>
          <w:p>
            <w:pPr>
              <w:jc w:val="right"/>
              <w:ind w:right="45"/>
              <w:spacing w:after="0"/>
              <w:rPr>
                <w:sz w:val="20"/>
                <w:szCs w:val="20"/>
                <w:color w:val="auto"/>
              </w:rPr>
            </w:pPr>
            <w:r>
              <w:rPr>
                <w:rFonts w:ascii="Arial" w:cs="Arial" w:eastAsia="Arial" w:hAnsi="Arial"/>
                <w:sz w:val="20"/>
                <w:szCs w:val="20"/>
                <w:color w:val="231F20"/>
              </w:rPr>
              <w:t>783,106</w:t>
            </w:r>
          </w:p>
        </w:tc>
        <w:tc>
          <w:tcPr>
            <w:tcW w:w="2000" w:type="dxa"/>
            <w:vAlign w:val="bottom"/>
            <w:gridSpan w:val="2"/>
            <w:shd w:val="clear" w:color="auto" w:fill="EBECEC"/>
          </w:tcPr>
          <w:p>
            <w:pPr>
              <w:jc w:val="right"/>
              <w:ind w:right="5"/>
              <w:spacing w:after="0"/>
              <w:rPr>
                <w:sz w:val="20"/>
                <w:szCs w:val="20"/>
                <w:color w:val="auto"/>
              </w:rPr>
            </w:pPr>
            <w:r>
              <w:rPr>
                <w:rFonts w:ascii="Arial" w:cs="Arial" w:eastAsia="Arial" w:hAnsi="Arial"/>
                <w:sz w:val="20"/>
                <w:szCs w:val="20"/>
                <w:color w:val="231F20"/>
              </w:rPr>
              <w:t>859,841</w:t>
            </w:r>
          </w:p>
        </w:tc>
      </w:tr>
      <w:tr>
        <w:trPr>
          <w:trHeight w:val="239"/>
        </w:trPr>
        <w:tc>
          <w:tcPr>
            <w:tcW w:w="4580" w:type="dxa"/>
            <w:vAlign w:val="bottom"/>
          </w:tcPr>
          <w:p>
            <w:pPr>
              <w:ind w:left="280"/>
              <w:spacing w:after="0"/>
              <w:rPr>
                <w:sz w:val="20"/>
                <w:szCs w:val="20"/>
                <w:color w:val="auto"/>
              </w:rPr>
            </w:pPr>
            <w:r>
              <w:rPr>
                <w:rFonts w:ascii="Arial" w:cs="Arial" w:eastAsia="Arial" w:hAnsi="Arial"/>
                <w:sz w:val="20"/>
                <w:szCs w:val="20"/>
                <w:color w:val="231F20"/>
              </w:rPr>
              <w:t>Total</w:t>
            </w:r>
          </w:p>
        </w:tc>
        <w:tc>
          <w:tcPr>
            <w:tcW w:w="2340" w:type="dxa"/>
            <w:vAlign w:val="bottom"/>
          </w:tcPr>
          <w:p>
            <w:pPr>
              <w:spacing w:after="0"/>
              <w:rPr>
                <w:sz w:val="20"/>
                <w:szCs w:val="20"/>
                <w:color w:val="auto"/>
              </w:rPr>
            </w:pPr>
          </w:p>
        </w:tc>
        <w:tc>
          <w:tcPr>
            <w:tcW w:w="1880" w:type="dxa"/>
            <w:vAlign w:val="bottom"/>
            <w:tcBorders>
              <w:top w:val="single" w:sz="8" w:color="231F20"/>
              <w:bottom w:val="single" w:sz="8" w:color="231F20"/>
            </w:tcBorders>
          </w:tcPr>
          <w:p>
            <w:pPr>
              <w:jc w:val="right"/>
              <w:ind w:right="45"/>
              <w:spacing w:after="0"/>
              <w:rPr>
                <w:sz w:val="20"/>
                <w:szCs w:val="20"/>
                <w:color w:val="auto"/>
              </w:rPr>
            </w:pPr>
            <w:r>
              <w:rPr>
                <w:rFonts w:ascii="Arial" w:cs="Arial" w:eastAsia="Arial" w:hAnsi="Arial"/>
                <w:sz w:val="20"/>
                <w:szCs w:val="20"/>
                <w:color w:val="231F20"/>
              </w:rPr>
              <w:t>10,833,370</w:t>
            </w:r>
          </w:p>
        </w:tc>
        <w:tc>
          <w:tcPr>
            <w:tcW w:w="160" w:type="dxa"/>
            <w:vAlign w:val="bottom"/>
          </w:tcPr>
          <w:p>
            <w:pPr>
              <w:spacing w:after="0"/>
              <w:rPr>
                <w:sz w:val="20"/>
                <w:szCs w:val="20"/>
                <w:color w:val="auto"/>
              </w:rPr>
            </w:pPr>
          </w:p>
        </w:tc>
        <w:tc>
          <w:tcPr>
            <w:tcW w:w="1840" w:type="dxa"/>
            <w:vAlign w:val="bottom"/>
            <w:tcBorders>
              <w:top w:val="single" w:sz="8" w:color="231F20"/>
              <w:bottom w:val="single" w:sz="8" w:color="231F20"/>
            </w:tcBorders>
          </w:tcPr>
          <w:p>
            <w:pPr>
              <w:jc w:val="right"/>
              <w:ind w:right="5"/>
              <w:spacing w:after="0"/>
              <w:rPr>
                <w:sz w:val="20"/>
                <w:szCs w:val="20"/>
                <w:color w:val="auto"/>
              </w:rPr>
            </w:pPr>
            <w:r>
              <w:rPr>
                <w:rFonts w:ascii="Arial" w:cs="Arial" w:eastAsia="Arial" w:hAnsi="Arial"/>
                <w:sz w:val="20"/>
                <w:szCs w:val="20"/>
                <w:color w:val="231F20"/>
              </w:rPr>
              <w:t>6,830,926</w:t>
            </w:r>
          </w:p>
        </w:tc>
      </w:tr>
      <w:tr>
        <w:trPr>
          <w:trHeight w:val="20"/>
        </w:trPr>
        <w:tc>
          <w:tcPr>
            <w:tcW w:w="4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Borders>
              <w:bottom w:val="single" w:sz="8" w:color="231F20"/>
            </w:tcBorders>
          </w:tcPr>
          <w:p>
            <w:pPr>
              <w:spacing w:after="0" w:line="20" w:lineRule="exact"/>
              <w:rPr>
                <w:sz w:val="1"/>
                <w:szCs w:val="1"/>
                <w:color w:val="auto"/>
              </w:rPr>
            </w:pPr>
          </w:p>
        </w:tc>
      </w:tr>
      <w:tr>
        <w:trPr>
          <w:trHeight w:val="501"/>
        </w:trPr>
        <w:tc>
          <w:tcPr>
            <w:tcW w:w="4580" w:type="dxa"/>
            <w:vAlign w:val="bottom"/>
          </w:tcPr>
          <w:p>
            <w:pPr>
              <w:spacing w:after="0"/>
              <w:rPr>
                <w:sz w:val="24"/>
                <w:szCs w:val="24"/>
                <w:color w:val="auto"/>
              </w:rPr>
            </w:pPr>
          </w:p>
        </w:tc>
        <w:tc>
          <w:tcPr>
            <w:tcW w:w="4220" w:type="dxa"/>
            <w:vAlign w:val="bottom"/>
            <w:gridSpan w:val="2"/>
          </w:tcPr>
          <w:p>
            <w:pPr>
              <w:jc w:val="right"/>
              <w:ind w:right="3105"/>
              <w:spacing w:after="0"/>
              <w:rPr>
                <w:sz w:val="20"/>
                <w:szCs w:val="20"/>
                <w:color w:val="auto"/>
              </w:rPr>
            </w:pPr>
            <w:r>
              <w:rPr>
                <w:rFonts w:ascii="Arial" w:cs="Arial" w:eastAsia="Arial" w:hAnsi="Arial"/>
                <w:sz w:val="20"/>
                <w:szCs w:val="20"/>
                <w:color w:val="231F20"/>
              </w:rPr>
              <w:t>F-19</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880" w:h="15480" w:orient="portrait"/>
          <w:cols w:equalWidth="0" w:num="1">
            <w:col w:w="10800"/>
          </w:cols>
          <w:pgMar w:left="540" w:top="756" w:right="540" w:bottom="0" w:gutter="0" w:footer="0" w:header="0"/>
        </w:sectPr>
      </w:pPr>
    </w:p>
    <w:bookmarkStart w:id="110" w:name="page111"/>
    <w:bookmarkEnd w:id="110"/>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Preferred Stock</w:t>
      </w:r>
    </w:p>
    <w:p>
      <w:pPr>
        <w:spacing w:after="0" w:line="116" w:lineRule="exact"/>
        <w:rPr>
          <w:sz w:val="20"/>
          <w:szCs w:val="20"/>
          <w:color w:val="auto"/>
        </w:rPr>
      </w:pPr>
    </w:p>
    <w:p>
      <w:pPr>
        <w:ind w:right="120" w:firstLine="490"/>
        <w:spacing w:after="0" w:line="261" w:lineRule="auto"/>
        <w:rPr>
          <w:sz w:val="20"/>
          <w:szCs w:val="20"/>
          <w:color w:val="auto"/>
        </w:rPr>
      </w:pPr>
      <w:r>
        <w:rPr>
          <w:rFonts w:ascii="Arial" w:cs="Arial" w:eastAsia="Arial" w:hAnsi="Arial"/>
          <w:sz w:val="20"/>
          <w:szCs w:val="20"/>
          <w:color w:val="231F20"/>
        </w:rPr>
        <w:t>The Company’s certificate of incorporation, as amended, authorizes the Company to issue up to 10,000,000 shares of $0.00001 par value preferred stock. The preferred stock is not convertible. No shares of preferred stock were issued and outstanding at December 31, 2025 and 2024.</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Shareholder Rights Plan</w:t>
      </w:r>
    </w:p>
    <w:p>
      <w:pPr>
        <w:spacing w:after="0" w:line="116"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231F20"/>
        </w:rPr>
        <w:t xml:space="preserve">In August 2024, the Company entered into a Rights Agreement between the Company and Equiniti Trust Company, LLC as Rights Agent (as amended from time to time, the “Rights Agreement"), which was previously approved by the Board. In connection with the Rights Agreement, a dividend was declared of one preferred stock purchase right (individually, a “Right” and collectively, the “Rights”) for each share of the common stock, par value $0.00001 per share, of the Company outstanding at the close of business on August 29, 2024 (the “Record Date”). Each Right entitles the registered holder thereof, after the Rights become exercisable and until August 15, 2025 (or the earlier redemption, exchange or termination of the Rights), to purchase from the Company one one-thousandth of a share of Series A Junior Participating Preferred Stock, par value $0.00001 per share (the “Series A Preferred”), of the Company at a price of $6.50 per one one-thousandth of a share of Series A Preferred, subject to adjustment. The Rights are not exercisable until the Distribution Date (as defined in the Rights Agreement”) and the Rights expired on August 15, 2025, subject to the Company’s right to extend such date, unless earlier redeemed or exchanged by the Company or terminated. Additional information regarding the Rights Agreement is contained in a Current Report on Form 8-K filed with the SEC. The adoption of the Shareholder Rights Plan had no impact on the financial position of the Company. </w:t>
      </w:r>
      <w:r>
        <w:rPr>
          <w:rFonts w:ascii="Arial" w:cs="Arial" w:eastAsia="Arial" w:hAnsi="Arial"/>
          <w:sz w:val="19"/>
          <w:szCs w:val="19"/>
          <w:color w:val="231F20"/>
        </w:rPr>
        <w:t>The Shareholder Rights</w:t>
      </w:r>
      <w:r>
        <w:rPr>
          <w:rFonts w:ascii="Arial" w:cs="Arial" w:eastAsia="Arial" w:hAnsi="Arial"/>
          <w:sz w:val="20"/>
          <w:szCs w:val="20"/>
          <w:color w:val="231F20"/>
        </w:rPr>
        <w:t xml:space="preserve"> </w:t>
      </w:r>
      <w:r>
        <w:rPr>
          <w:rFonts w:ascii="Arial" w:cs="Arial" w:eastAsia="Arial" w:hAnsi="Arial"/>
          <w:sz w:val="19"/>
          <w:szCs w:val="19"/>
          <w:color w:val="231F20"/>
        </w:rPr>
        <w:t>Plan expired on August 15, 2025.</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Issuance of Pre-Funded Warrants in Exchange for Common Stock</w:t>
      </w:r>
    </w:p>
    <w:p>
      <w:pPr>
        <w:spacing w:after="0" w:line="116" w:lineRule="exact"/>
        <w:rPr>
          <w:sz w:val="20"/>
          <w:szCs w:val="20"/>
          <w:color w:val="auto"/>
        </w:rPr>
      </w:pPr>
    </w:p>
    <w:p>
      <w:pPr>
        <w:jc w:val="both"/>
        <w:ind w:right="40" w:firstLine="490"/>
        <w:spacing w:after="0" w:line="261" w:lineRule="auto"/>
        <w:rPr>
          <w:sz w:val="20"/>
          <w:szCs w:val="20"/>
          <w:color w:val="auto"/>
        </w:rPr>
      </w:pPr>
      <w:r>
        <w:rPr>
          <w:rFonts w:ascii="Arial" w:cs="Arial" w:eastAsia="Arial" w:hAnsi="Arial"/>
          <w:sz w:val="20"/>
          <w:szCs w:val="20"/>
          <w:color w:val="231F20"/>
        </w:rPr>
        <w:t>In June 2025, the Company entered into exchange agreements with certain existing stockholders pursuant to which the stockholders exchanged an aggregate of 2,952,000 shares of the Company’s common stock for Warrants to purchase up to an equivalent number of shares of common stock.</w:t>
      </w:r>
    </w:p>
    <w:p>
      <w:pPr>
        <w:spacing w:after="0" w:line="180" w:lineRule="exact"/>
        <w:rPr>
          <w:sz w:val="20"/>
          <w:szCs w:val="20"/>
          <w:color w:val="auto"/>
        </w:rPr>
      </w:pPr>
    </w:p>
    <w:p>
      <w:pPr>
        <w:ind w:right="220" w:firstLine="490"/>
        <w:spacing w:after="0" w:line="271" w:lineRule="auto"/>
        <w:rPr>
          <w:sz w:val="20"/>
          <w:szCs w:val="20"/>
          <w:color w:val="auto"/>
        </w:rPr>
      </w:pPr>
      <w:r>
        <w:rPr>
          <w:rFonts w:ascii="Arial" w:cs="Arial" w:eastAsia="Arial" w:hAnsi="Arial"/>
          <w:sz w:val="19"/>
          <w:szCs w:val="19"/>
          <w:color w:val="231F20"/>
        </w:rPr>
        <w:t>Each Warrant has an exercise price of $0.00001 per share and does not have an expiration date. The Warrants include a beneficial ownership limitation that restricts the holder from exercising any portion of the Warrant to the extent that, following such exercise, the holder would own more than 9.99% of the Company’s outstanding common stock. The ownership limitation may be increased by the holder to up to 19.99% upon 61 days’ prior written notice to the Company.</w:t>
      </w:r>
    </w:p>
    <w:p>
      <w:pPr>
        <w:spacing w:after="0" w:line="173" w:lineRule="exact"/>
        <w:rPr>
          <w:sz w:val="20"/>
          <w:szCs w:val="20"/>
          <w:color w:val="auto"/>
        </w:rPr>
      </w:pPr>
    </w:p>
    <w:p>
      <w:pPr>
        <w:ind w:right="20" w:firstLine="490"/>
        <w:spacing w:after="0" w:line="261" w:lineRule="auto"/>
        <w:rPr>
          <w:sz w:val="20"/>
          <w:szCs w:val="20"/>
          <w:color w:val="auto"/>
        </w:rPr>
      </w:pPr>
      <w:r>
        <w:rPr>
          <w:rFonts w:ascii="Arial" w:cs="Arial" w:eastAsia="Arial" w:hAnsi="Arial"/>
          <w:sz w:val="20"/>
          <w:szCs w:val="20"/>
          <w:color w:val="231F20"/>
        </w:rPr>
        <w:t>The exchange transactions were completed pursuant to Section 3(a)(9) of the Securities Act of 1933, as amended, and no cash consideration was received by the Company. As there was no cash consideration and the exchange involved equity instruments, the transactions were accounted for as an equity-for-equity exchange with no gain or loss recognized.</w:t>
      </w:r>
    </w:p>
    <w:p>
      <w:pPr>
        <w:spacing w:after="0" w:line="180"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The Warrants meet the criteria for equity classification under ASC 815-40,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and (v) are indexed to the Company’s common stock. Accordingly, the transfer of common stock for warrants were recorded in additional paid-in capital within stockholders’ equity. The Company valued the Warrants at issuance, concluding that the closing stock price on the transaction close dates approximated their fair value.</w:t>
      </w:r>
    </w:p>
    <w:p>
      <w:pPr>
        <w:spacing w:after="0" w:line="193" w:lineRule="exact"/>
        <w:rPr>
          <w:sz w:val="20"/>
          <w:szCs w:val="20"/>
          <w:color w:val="auto"/>
        </w:rPr>
      </w:pPr>
    </w:p>
    <w:p>
      <w:pPr>
        <w:ind w:right="20" w:firstLine="490"/>
        <w:spacing w:after="0" w:line="282" w:lineRule="auto"/>
        <w:rPr>
          <w:sz w:val="20"/>
          <w:szCs w:val="20"/>
          <w:color w:val="auto"/>
        </w:rPr>
      </w:pPr>
      <w:r>
        <w:rPr>
          <w:rFonts w:ascii="Arial" w:cs="Arial" w:eastAsia="Arial" w:hAnsi="Arial"/>
          <w:sz w:val="20"/>
          <w:szCs w:val="20"/>
          <w:color w:val="231F20"/>
        </w:rPr>
        <w:t>As of December 31, 2025, all 2,952,000 shares under Warrants remained outstanding for the purposes of computing earnings per share and the Warrants remain unexercised.</w:t>
      </w:r>
    </w:p>
    <w:p>
      <w:pPr>
        <w:sectPr>
          <w:pgSz w:w="11880" w:h="15480" w:orient="portrait"/>
          <w:cols w:equalWidth="0" w:num="1">
            <w:col w:w="10800"/>
          </w:cols>
          <w:pgMar w:left="540" w:top="75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F-20</w:t>
      </w:r>
    </w:p>
    <w:p>
      <w:pPr>
        <w:sectPr>
          <w:pgSz w:w="11880" w:h="15480" w:orient="portrait"/>
          <w:cols w:equalWidth="0" w:num="1">
            <w:col w:w="10800"/>
          </w:cols>
          <w:pgMar w:left="540" w:top="756" w:right="540" w:bottom="6"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46" w:lineRule="exact"/>
        <w:rPr>
          <w:sz w:val="20"/>
          <w:szCs w:val="20"/>
          <w:color w:val="auto"/>
        </w:rPr>
      </w:pPr>
    </w:p>
    <w:p>
      <w:pPr>
        <w:ind w:right="4940"/>
        <w:spacing w:after="0" w:line="367" w:lineRule="auto"/>
        <w:rPr>
          <w:sz w:val="20"/>
          <w:szCs w:val="20"/>
          <w:color w:val="auto"/>
        </w:rPr>
      </w:pPr>
      <w:r>
        <w:rPr>
          <w:rFonts w:ascii="Arial" w:cs="Arial" w:eastAsia="Arial" w:hAnsi="Arial"/>
          <w:sz w:val="20"/>
          <w:szCs w:val="20"/>
          <w:b w:val="1"/>
          <w:bCs w:val="1"/>
          <w:color w:val="231F20"/>
        </w:rPr>
        <w:t xml:space="preserve">Note 9. Equity Incentive Plan and Stock-Based Compensation </w:t>
      </w:r>
      <w:r>
        <w:rPr>
          <w:rFonts w:ascii="Arial" w:cs="Arial" w:eastAsia="Arial" w:hAnsi="Arial"/>
          <w:sz w:val="20"/>
          <w:szCs w:val="20"/>
          <w:b w:val="1"/>
          <w:bCs w:val="1"/>
          <w:i w:val="1"/>
          <w:iCs w:val="1"/>
          <w:color w:val="231F20"/>
        </w:rPr>
        <w:t>2022 Equity Incentive Plan</w:t>
      </w:r>
    </w:p>
    <w:p>
      <w:pPr>
        <w:spacing w:after="0" w:line="1"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231F20"/>
        </w:rPr>
        <w:t>The Company adopted the 2022 Equity Incentive Plan (the “2022 Plan”) effective upon the closing of the IPO, which provides for the granting of incentive stock options (“ISOs”) to the Company's employees, and for the grant of nonstatutory stock options (“NSOs”), stock appreciation rights, restricted stock awards, restricted stock unit awards, performance awards, and other forms of awards to employees, directors, and consultants. As of December 31, 2025, no stock appreciation rights or performance awards were issued.</w:t>
      </w:r>
    </w:p>
    <w:p>
      <w:pPr>
        <w:spacing w:after="0" w:line="192"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231F20"/>
        </w:rPr>
        <w:t>The Company initially reserved for issuance 1,870,000 new shares of common stock pursuant to the 2022 Plan. The Company’s 2017 Equity Incentive Plan (the “2017 Plan”) was terminated in 2022; however, shares underlying outstanding stock awards granted under the 2017 Plan will continue to be governed by the 2017 Plan. Shares available under the 2017 Plan were added to the available shares in the 2022 Plan. Shares underlying outstanding stock awards granted under the 2017 Plan that expire or are repurchased by, forfeited to, cancelled or withheld by the Company will also be reserved for issuance under the 2022 Plan.</w:t>
      </w:r>
    </w:p>
    <w:p>
      <w:pPr>
        <w:spacing w:after="0" w:line="194" w:lineRule="exact"/>
        <w:rPr>
          <w:sz w:val="20"/>
          <w:szCs w:val="20"/>
          <w:color w:val="auto"/>
        </w:rPr>
      </w:pPr>
    </w:p>
    <w:p>
      <w:pPr>
        <w:ind w:right="180" w:firstLine="490"/>
        <w:spacing w:after="0" w:line="244" w:lineRule="auto"/>
        <w:rPr>
          <w:sz w:val="20"/>
          <w:szCs w:val="20"/>
          <w:color w:val="auto"/>
        </w:rPr>
      </w:pPr>
      <w:r>
        <w:rPr>
          <w:rFonts w:ascii="Arial" w:cs="Arial" w:eastAsia="Arial" w:hAnsi="Arial"/>
          <w:sz w:val="20"/>
          <w:szCs w:val="20"/>
          <w:color w:val="231F20"/>
        </w:rPr>
        <w:t>The initial number of shares of the Company’s common stock that may be issued under the 2022 Plan will not exceed 4,423,920 shares of the Company's common stock, which is the sum of (i) 1,870,000 new shares, plus (ii) 2,553,920 shares related to the 2017 Plan. In addition, the number of shares of the Company’s common stock reserved for issuance under the 2022 Plan will automatically increase on January 1 of each year for a period of ten years, beginning on January 1, 2023 and continuing through January 1, 2032, in an amount equal to (1) 4% of the total number of shares of the Company’s common stock outstanding on December 31 of the immediately preceding year, or (2) a lesser number of shares determined by the Company's board of directors no later than December 31 of the immediately preceding year. Accordingly, effective January 1, 2025, the number of shares in the 2022 Plan increased by 1,196,785 shares, representing 4% of the prior yearend’s common stock outstanding</w:t>
      </w:r>
      <w:r>
        <w:rPr>
          <w:rFonts w:ascii="Times New Roman" w:cs="Times New Roman" w:eastAsia="Times New Roman" w:hAnsi="Times New Roman"/>
          <w:sz w:val="20"/>
          <w:szCs w:val="20"/>
          <w:color w:val="231F20"/>
        </w:rPr>
        <w:t>.</w:t>
      </w:r>
      <w:r>
        <w:rPr>
          <w:rFonts w:ascii="Arial" w:cs="Arial" w:eastAsia="Arial" w:hAnsi="Arial"/>
          <w:sz w:val="20"/>
          <w:szCs w:val="20"/>
          <w:color w:val="231F20"/>
        </w:rPr>
        <w:t xml:space="preserve"> The maximum number of shares of the Company's common stock that may be issued on the exercise of stock options or vesting of RSUs and RSAs under the 2022 Plan is 13,271,760 shares.</w:t>
      </w:r>
    </w:p>
    <w:p>
      <w:pPr>
        <w:spacing w:after="0" w:line="198" w:lineRule="exact"/>
        <w:rPr>
          <w:sz w:val="20"/>
          <w:szCs w:val="20"/>
          <w:color w:val="auto"/>
        </w:rPr>
      </w:pPr>
    </w:p>
    <w:p>
      <w:pPr>
        <w:ind w:right="120" w:firstLine="490"/>
        <w:spacing w:after="0" w:line="261" w:lineRule="auto"/>
        <w:rPr>
          <w:sz w:val="20"/>
          <w:szCs w:val="20"/>
          <w:color w:val="auto"/>
        </w:rPr>
      </w:pPr>
      <w:r>
        <w:rPr>
          <w:rFonts w:ascii="Arial" w:cs="Arial" w:eastAsia="Arial" w:hAnsi="Arial"/>
          <w:sz w:val="20"/>
          <w:szCs w:val="20"/>
          <w:color w:val="231F20"/>
        </w:rPr>
        <w:t>Since the date of incorporation and through December 31, 2025, the Company issued stock options, RSUs and RSAs to its employees, directors and consultants. As of December 31, 2025, 783,106 shares of common stock remained available for future issuance under the 2022 Plan.</w:t>
      </w:r>
    </w:p>
    <w:p>
      <w:pPr>
        <w:spacing w:after="0" w:line="180"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231F20"/>
        </w:rPr>
        <w:t>ISOs granted to newly hired employees under the 2022 Plan generally vest 25% after the completion of 12 months of service, and the balance vests in equal monthly installments over the next 36 months of service and expire ten years from the grant date, unless subject to provisions regarding 10% stockholders. ISOs granted to existing employees generally vest ratably over a 48-month period of service and expire ten years from the grant date. NSOs vest in accordance with the terms of the specific agreement under which the options were provided and expire ten years from the date of grant. RSUs granted to employees generally vest annually over a two to four year period of service and expire ten years from the grant date. RSAs granted to non-employees generally vest at the time of grant and expire ten years from the grant date.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Stock-Based Compensation Expense</w:t>
      </w:r>
    </w:p>
    <w:p>
      <w:pPr>
        <w:spacing w:after="0" w:line="116" w:lineRule="exact"/>
        <w:rPr>
          <w:sz w:val="20"/>
          <w:szCs w:val="20"/>
          <w:color w:val="auto"/>
        </w:rPr>
      </w:pPr>
    </w:p>
    <w:p>
      <w:pPr>
        <w:ind w:right="260" w:firstLine="490"/>
        <w:spacing w:after="0" w:line="261" w:lineRule="auto"/>
        <w:rPr>
          <w:sz w:val="20"/>
          <w:szCs w:val="20"/>
          <w:color w:val="auto"/>
        </w:rPr>
      </w:pPr>
      <w:r>
        <w:rPr>
          <w:rFonts w:ascii="Arial" w:cs="Arial" w:eastAsia="Arial" w:hAnsi="Arial"/>
          <w:sz w:val="20"/>
          <w:szCs w:val="20"/>
          <w:color w:val="231F20"/>
        </w:rPr>
        <w:t>The following table summarizes the components of stock-based compensation expense recognized in the Company’s statements of operations and comprehensive loss during the years ended December 31, 2025 and 2024 (in thousands):</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2560" w:type="dxa"/>
            <w:vAlign w:val="bottom"/>
            <w:tcBorders>
              <w:bottom w:val="single" w:sz="8" w:color="231F20"/>
            </w:tcBorders>
            <w:gridSpan w:val="4"/>
          </w:tcPr>
          <w:p>
            <w:pPr>
              <w:jc w:val="right"/>
              <w:ind w:right="365"/>
              <w:spacing w:after="0"/>
              <w:rPr>
                <w:sz w:val="20"/>
                <w:szCs w:val="20"/>
                <w:color w:val="auto"/>
              </w:rPr>
            </w:pPr>
            <w:r>
              <w:rPr>
                <w:rFonts w:ascii="Arial" w:cs="Arial" w:eastAsia="Arial" w:hAnsi="Arial"/>
                <w:sz w:val="16"/>
                <w:szCs w:val="16"/>
                <w:b w:val="1"/>
                <w:bCs w:val="1"/>
                <w:color w:val="231F20"/>
              </w:rPr>
              <w:t>Year Ended December 31,</w:t>
            </w:r>
          </w:p>
        </w:tc>
      </w:tr>
      <w:tr>
        <w:trPr>
          <w:trHeight w:val="179"/>
        </w:trPr>
        <w:tc>
          <w:tcPr>
            <w:tcW w:w="4600" w:type="dxa"/>
            <w:vAlign w:val="bottom"/>
            <w:tcBorders>
              <w:bottom w:val="single" w:sz="8" w:color="EBECEC"/>
            </w:tcBorders>
          </w:tcPr>
          <w:p>
            <w:pPr>
              <w:spacing w:after="0"/>
              <w:rPr>
                <w:sz w:val="15"/>
                <w:szCs w:val="15"/>
                <w:color w:val="auto"/>
              </w:rPr>
            </w:pPr>
          </w:p>
        </w:tc>
        <w:tc>
          <w:tcPr>
            <w:tcW w:w="1240" w:type="dxa"/>
            <w:vAlign w:val="bottom"/>
            <w:tcBorders>
              <w:bottom w:val="single" w:sz="8" w:color="EBECEC"/>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48"/>
              <w:spacing w:after="0" w:line="179" w:lineRule="exact"/>
              <w:rPr>
                <w:sz w:val="20"/>
                <w:szCs w:val="20"/>
                <w:color w:val="auto"/>
              </w:rPr>
            </w:pPr>
            <w:r>
              <w:rPr>
                <w:rFonts w:ascii="Arial" w:cs="Arial" w:eastAsia="Arial" w:hAnsi="Arial"/>
                <w:sz w:val="16"/>
                <w:szCs w:val="16"/>
                <w:b w:val="1"/>
                <w:bCs w:val="1"/>
                <w:color w:val="231F20"/>
              </w:rPr>
              <w:t>2025</w:t>
            </w:r>
          </w:p>
        </w:tc>
        <w:tc>
          <w:tcPr>
            <w:tcW w:w="140" w:type="dxa"/>
            <w:vAlign w:val="bottom"/>
            <w:tcBorders>
              <w:bottom w:val="single" w:sz="8" w:color="EBECEC"/>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425"/>
              <w:spacing w:after="0" w:line="179" w:lineRule="exact"/>
              <w:rPr>
                <w:sz w:val="20"/>
                <w:szCs w:val="20"/>
                <w:color w:val="auto"/>
              </w:rPr>
            </w:pPr>
            <w:r>
              <w:rPr>
                <w:rFonts w:ascii="Arial" w:cs="Arial" w:eastAsia="Arial" w:hAnsi="Arial"/>
                <w:sz w:val="16"/>
                <w:szCs w:val="16"/>
                <w:b w:val="1"/>
                <w:bCs w:val="1"/>
                <w:color w:val="231F20"/>
              </w:rPr>
              <w:t>2024</w:t>
            </w:r>
          </w:p>
        </w:tc>
      </w:tr>
      <w:tr>
        <w:trPr>
          <w:trHeight w:val="225"/>
        </w:trPr>
        <w:tc>
          <w:tcPr>
            <w:tcW w:w="4600" w:type="dxa"/>
            <w:vAlign w:val="bottom"/>
            <w:shd w:val="clear" w:color="auto" w:fill="EBECEC"/>
          </w:tcPr>
          <w:p>
            <w:pPr>
              <w:spacing w:after="0" w:line="225" w:lineRule="exact"/>
              <w:rPr>
                <w:sz w:val="20"/>
                <w:szCs w:val="20"/>
                <w:color w:val="auto"/>
              </w:rPr>
            </w:pPr>
            <w:r>
              <w:rPr>
                <w:rFonts w:ascii="Arial" w:cs="Arial" w:eastAsia="Arial" w:hAnsi="Arial"/>
                <w:sz w:val="20"/>
                <w:szCs w:val="20"/>
                <w:color w:val="231F20"/>
              </w:rPr>
              <w:t>Research and development expenses</w:t>
            </w:r>
          </w:p>
        </w:tc>
        <w:tc>
          <w:tcPr>
            <w:tcW w:w="1240" w:type="dxa"/>
            <w:vAlign w:val="bottom"/>
            <w:shd w:val="clear" w:color="auto" w:fill="EBECEC"/>
          </w:tcPr>
          <w:p>
            <w:pPr>
              <w:spacing w:after="0"/>
              <w:rPr>
                <w:sz w:val="19"/>
                <w:szCs w:val="19"/>
                <w:color w:val="auto"/>
              </w:rPr>
            </w:pPr>
          </w:p>
        </w:tc>
        <w:tc>
          <w:tcPr>
            <w:tcW w:w="240" w:type="dxa"/>
            <w:vAlign w:val="bottom"/>
            <w:shd w:val="clear" w:color="auto" w:fill="EBECEC"/>
          </w:tcPr>
          <w:p>
            <w:pPr>
              <w:jc w:val="right"/>
              <w:ind w:right="40"/>
              <w:spacing w:after="0" w:line="225" w:lineRule="exact"/>
              <w:rPr>
                <w:sz w:val="20"/>
                <w:szCs w:val="20"/>
                <w:color w:val="auto"/>
              </w:rPr>
            </w:pPr>
            <w:r>
              <w:rPr>
                <w:rFonts w:ascii="Arial" w:cs="Arial" w:eastAsia="Arial" w:hAnsi="Arial"/>
                <w:sz w:val="20"/>
                <w:szCs w:val="20"/>
                <w:color w:val="231F20"/>
                <w:w w:val="71"/>
              </w:rPr>
              <w:t>$</w:t>
            </w:r>
          </w:p>
        </w:tc>
        <w:tc>
          <w:tcPr>
            <w:tcW w:w="1100" w:type="dxa"/>
            <w:vAlign w:val="bottom"/>
            <w:shd w:val="clear" w:color="auto" w:fill="EBECEC"/>
          </w:tcPr>
          <w:p>
            <w:pPr>
              <w:jc w:val="right"/>
              <w:ind w:right="8"/>
              <w:spacing w:after="0" w:line="225" w:lineRule="exact"/>
              <w:rPr>
                <w:sz w:val="20"/>
                <w:szCs w:val="20"/>
                <w:color w:val="auto"/>
              </w:rPr>
            </w:pPr>
            <w:r>
              <w:rPr>
                <w:rFonts w:ascii="Arial" w:cs="Arial" w:eastAsia="Arial" w:hAnsi="Arial"/>
                <w:sz w:val="20"/>
                <w:szCs w:val="20"/>
                <w:color w:val="231F20"/>
              </w:rPr>
              <w:t>2,422</w:t>
            </w:r>
          </w:p>
        </w:tc>
        <w:tc>
          <w:tcPr>
            <w:tcW w:w="140" w:type="dxa"/>
            <w:vAlign w:val="bottom"/>
            <w:shd w:val="clear" w:color="auto" w:fill="EBECEC"/>
          </w:tcPr>
          <w:p>
            <w:pPr>
              <w:spacing w:after="0"/>
              <w:rPr>
                <w:sz w:val="19"/>
                <w:szCs w:val="19"/>
                <w:color w:val="auto"/>
              </w:rPr>
            </w:pPr>
          </w:p>
        </w:tc>
        <w:tc>
          <w:tcPr>
            <w:tcW w:w="280" w:type="dxa"/>
            <w:vAlign w:val="bottom"/>
            <w:shd w:val="clear" w:color="auto" w:fill="EBECEC"/>
          </w:tcPr>
          <w:p>
            <w:pPr>
              <w:jc w:val="right"/>
              <w:ind w:right="80"/>
              <w:spacing w:after="0" w:line="225" w:lineRule="exact"/>
              <w:rPr>
                <w:sz w:val="20"/>
                <w:szCs w:val="20"/>
                <w:color w:val="auto"/>
              </w:rPr>
            </w:pPr>
            <w:r>
              <w:rPr>
                <w:rFonts w:ascii="Arial" w:cs="Arial" w:eastAsia="Arial" w:hAnsi="Arial"/>
                <w:sz w:val="20"/>
                <w:szCs w:val="20"/>
                <w:color w:val="231F20"/>
                <w:w w:val="71"/>
              </w:rPr>
              <w:t>$</w:t>
            </w:r>
          </w:p>
        </w:tc>
        <w:tc>
          <w:tcPr>
            <w:tcW w:w="1040" w:type="dxa"/>
            <w:vAlign w:val="bottom"/>
            <w:shd w:val="clear" w:color="auto" w:fill="EBECEC"/>
          </w:tcPr>
          <w:p>
            <w:pPr>
              <w:jc w:val="right"/>
              <w:spacing w:after="0" w:line="225" w:lineRule="exact"/>
              <w:rPr>
                <w:sz w:val="20"/>
                <w:szCs w:val="20"/>
                <w:color w:val="auto"/>
              </w:rPr>
            </w:pPr>
            <w:r>
              <w:rPr>
                <w:rFonts w:ascii="Arial" w:cs="Arial" w:eastAsia="Arial" w:hAnsi="Arial"/>
                <w:sz w:val="20"/>
                <w:szCs w:val="20"/>
                <w:color w:val="231F20"/>
              </w:rPr>
              <w:t>3,798</w:t>
            </w:r>
          </w:p>
        </w:tc>
      </w:tr>
      <w:tr>
        <w:trPr>
          <w:trHeight w:val="230"/>
        </w:trPr>
        <w:tc>
          <w:tcPr>
            <w:tcW w:w="4600" w:type="dxa"/>
            <w:vAlign w:val="bottom"/>
            <w:tcBorders>
              <w:bottom w:val="single" w:sz="8" w:color="EBECEC"/>
            </w:tcBorders>
          </w:tcPr>
          <w:p>
            <w:pPr>
              <w:spacing w:after="0"/>
              <w:rPr>
                <w:sz w:val="20"/>
                <w:szCs w:val="20"/>
                <w:color w:val="auto"/>
              </w:rPr>
            </w:pPr>
            <w:r>
              <w:rPr>
                <w:rFonts w:ascii="Arial" w:cs="Arial" w:eastAsia="Arial" w:hAnsi="Arial"/>
                <w:sz w:val="20"/>
                <w:szCs w:val="20"/>
                <w:color w:val="231F20"/>
              </w:rPr>
              <w:t>General and administrative expenses</w:t>
            </w:r>
          </w:p>
        </w:tc>
        <w:tc>
          <w:tcPr>
            <w:tcW w:w="1240" w:type="dxa"/>
            <w:vAlign w:val="bottom"/>
            <w:tcBorders>
              <w:bottom w:val="single" w:sz="8" w:color="EBECEC"/>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right"/>
              <w:ind w:right="8"/>
              <w:spacing w:after="0"/>
              <w:rPr>
                <w:sz w:val="20"/>
                <w:szCs w:val="20"/>
                <w:color w:val="auto"/>
              </w:rPr>
            </w:pPr>
            <w:r>
              <w:rPr>
                <w:rFonts w:ascii="Arial" w:cs="Arial" w:eastAsia="Arial" w:hAnsi="Arial"/>
                <w:sz w:val="20"/>
                <w:szCs w:val="20"/>
                <w:color w:val="231F20"/>
              </w:rPr>
              <w:t>3,824</w:t>
            </w:r>
          </w:p>
        </w:tc>
        <w:tc>
          <w:tcPr>
            <w:tcW w:w="140" w:type="dxa"/>
            <w:vAlign w:val="bottom"/>
            <w:tcBorders>
              <w:bottom w:val="single" w:sz="8" w:color="EBECEC"/>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4,540</w:t>
            </w:r>
          </w:p>
        </w:tc>
      </w:tr>
      <w:tr>
        <w:trPr>
          <w:trHeight w:val="225"/>
        </w:trPr>
        <w:tc>
          <w:tcPr>
            <w:tcW w:w="4600" w:type="dxa"/>
            <w:vAlign w:val="bottom"/>
            <w:shd w:val="clear" w:color="auto" w:fill="EBECEC"/>
          </w:tcPr>
          <w:p>
            <w:pPr>
              <w:spacing w:after="0" w:line="225" w:lineRule="exact"/>
              <w:rPr>
                <w:sz w:val="20"/>
                <w:szCs w:val="20"/>
                <w:color w:val="auto"/>
              </w:rPr>
            </w:pPr>
            <w:r>
              <w:rPr>
                <w:rFonts w:ascii="Arial" w:cs="Arial" w:eastAsia="Arial" w:hAnsi="Arial"/>
                <w:sz w:val="20"/>
                <w:szCs w:val="20"/>
                <w:color w:val="231F20"/>
              </w:rPr>
              <w:t>Total</w:t>
            </w:r>
          </w:p>
        </w:tc>
        <w:tc>
          <w:tcPr>
            <w:tcW w:w="1240" w:type="dxa"/>
            <w:vAlign w:val="bottom"/>
            <w:shd w:val="clear" w:color="auto" w:fill="EBECEC"/>
          </w:tcPr>
          <w:p>
            <w:pPr>
              <w:spacing w:after="0"/>
              <w:rPr>
                <w:sz w:val="19"/>
                <w:szCs w:val="19"/>
                <w:color w:val="auto"/>
              </w:rPr>
            </w:pPr>
          </w:p>
        </w:tc>
        <w:tc>
          <w:tcPr>
            <w:tcW w:w="240" w:type="dxa"/>
            <w:vAlign w:val="bottom"/>
            <w:tcBorders>
              <w:bottom w:val="single" w:sz="8" w:color="231F20"/>
            </w:tcBorders>
            <w:shd w:val="clear" w:color="auto" w:fill="EBECEC"/>
          </w:tcPr>
          <w:p>
            <w:pPr>
              <w:jc w:val="right"/>
              <w:ind w:right="40"/>
              <w:spacing w:after="0" w:line="225" w:lineRule="exact"/>
              <w:rPr>
                <w:sz w:val="20"/>
                <w:szCs w:val="20"/>
                <w:color w:val="auto"/>
              </w:rPr>
            </w:pPr>
            <w:r>
              <w:rPr>
                <w:rFonts w:ascii="Arial" w:cs="Arial" w:eastAsia="Arial" w:hAnsi="Arial"/>
                <w:sz w:val="20"/>
                <w:szCs w:val="20"/>
                <w:color w:val="231F20"/>
                <w:w w:val="71"/>
              </w:rPr>
              <w:t>$</w:t>
            </w:r>
          </w:p>
        </w:tc>
        <w:tc>
          <w:tcPr>
            <w:tcW w:w="1100" w:type="dxa"/>
            <w:vAlign w:val="bottom"/>
            <w:tcBorders>
              <w:bottom w:val="single" w:sz="8" w:color="231F20"/>
            </w:tcBorders>
            <w:shd w:val="clear" w:color="auto" w:fill="EBECEC"/>
          </w:tcPr>
          <w:p>
            <w:pPr>
              <w:jc w:val="right"/>
              <w:ind w:right="8"/>
              <w:spacing w:after="0" w:line="225" w:lineRule="exact"/>
              <w:rPr>
                <w:sz w:val="20"/>
                <w:szCs w:val="20"/>
                <w:color w:val="auto"/>
              </w:rPr>
            </w:pPr>
            <w:r>
              <w:rPr>
                <w:rFonts w:ascii="Arial" w:cs="Arial" w:eastAsia="Arial" w:hAnsi="Arial"/>
                <w:sz w:val="20"/>
                <w:szCs w:val="20"/>
                <w:color w:val="231F20"/>
              </w:rPr>
              <w:t>6,246</w:t>
            </w:r>
          </w:p>
        </w:tc>
        <w:tc>
          <w:tcPr>
            <w:tcW w:w="140" w:type="dxa"/>
            <w:vAlign w:val="bottom"/>
            <w:shd w:val="clear" w:color="auto" w:fill="EBECEC"/>
          </w:tcPr>
          <w:p>
            <w:pPr>
              <w:spacing w:after="0"/>
              <w:rPr>
                <w:sz w:val="19"/>
                <w:szCs w:val="19"/>
                <w:color w:val="auto"/>
              </w:rPr>
            </w:pPr>
          </w:p>
        </w:tc>
        <w:tc>
          <w:tcPr>
            <w:tcW w:w="280" w:type="dxa"/>
            <w:vAlign w:val="bottom"/>
            <w:tcBorders>
              <w:bottom w:val="single" w:sz="8" w:color="231F20"/>
            </w:tcBorders>
            <w:shd w:val="clear" w:color="auto" w:fill="EBECEC"/>
          </w:tcPr>
          <w:p>
            <w:pPr>
              <w:jc w:val="right"/>
              <w:ind w:right="80"/>
              <w:spacing w:after="0" w:line="225" w:lineRule="exact"/>
              <w:rPr>
                <w:sz w:val="20"/>
                <w:szCs w:val="20"/>
                <w:color w:val="auto"/>
              </w:rPr>
            </w:pPr>
            <w:r>
              <w:rPr>
                <w:rFonts w:ascii="Arial" w:cs="Arial" w:eastAsia="Arial" w:hAnsi="Arial"/>
                <w:sz w:val="20"/>
                <w:szCs w:val="20"/>
                <w:color w:val="231F20"/>
                <w:w w:val="71"/>
              </w:rPr>
              <w:t>$</w:t>
            </w:r>
          </w:p>
        </w:tc>
        <w:tc>
          <w:tcPr>
            <w:tcW w:w="1040" w:type="dxa"/>
            <w:vAlign w:val="bottom"/>
            <w:tcBorders>
              <w:bottom w:val="single" w:sz="8" w:color="231F20"/>
            </w:tcBorders>
            <w:shd w:val="clear" w:color="auto" w:fill="EBECEC"/>
          </w:tcPr>
          <w:p>
            <w:pPr>
              <w:jc w:val="right"/>
              <w:spacing w:after="0" w:line="225" w:lineRule="exact"/>
              <w:rPr>
                <w:sz w:val="20"/>
                <w:szCs w:val="20"/>
                <w:color w:val="auto"/>
              </w:rPr>
            </w:pPr>
            <w:r>
              <w:rPr>
                <w:rFonts w:ascii="Arial" w:cs="Arial" w:eastAsia="Arial" w:hAnsi="Arial"/>
                <w:sz w:val="20"/>
                <w:szCs w:val="20"/>
                <w:color w:val="231F20"/>
              </w:rPr>
              <w:t>8,338</w:t>
            </w:r>
          </w:p>
        </w:tc>
      </w:tr>
      <w:tr>
        <w:trPr>
          <w:trHeight w:val="20"/>
        </w:trPr>
        <w:tc>
          <w:tcPr>
            <w:tcW w:w="4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F-21</w:t>
      </w:r>
    </w:p>
    <w:p>
      <w:pPr>
        <w:sectPr>
          <w:pgSz w:w="11880" w:h="15480" w:orient="portrait"/>
          <w:cols w:equalWidth="0" w:num="1">
            <w:col w:w="10800"/>
          </w:cols>
          <w:pgMar w:left="540" w:top="756" w:right="540" w:bottom="6"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Valuation of Stock Options</w:t>
      </w:r>
    </w:p>
    <w:p>
      <w:pPr>
        <w:spacing w:after="0" w:line="116" w:lineRule="exact"/>
        <w:rPr>
          <w:sz w:val="20"/>
          <w:szCs w:val="20"/>
          <w:color w:val="auto"/>
        </w:rPr>
      </w:pPr>
    </w:p>
    <w:p>
      <w:pPr>
        <w:ind w:right="120" w:firstLine="490"/>
        <w:spacing w:after="0" w:line="261" w:lineRule="auto"/>
        <w:rPr>
          <w:sz w:val="20"/>
          <w:szCs w:val="20"/>
          <w:color w:val="auto"/>
        </w:rPr>
      </w:pPr>
      <w:r>
        <w:rPr>
          <w:rFonts w:ascii="Arial" w:cs="Arial" w:eastAsia="Arial" w:hAnsi="Arial"/>
          <w:sz w:val="20"/>
          <w:szCs w:val="20"/>
          <w:color w:val="231F20"/>
        </w:rPr>
        <w:t>The Company estimated the fair value of stock options using the Black-Scholes option pricing model. The fair value of employee and non-employee stock options is being amortized on the straight-line basis over the requisite service period of the awards.</w:t>
      </w:r>
    </w:p>
    <w:p>
      <w:pPr>
        <w:spacing w:after="0" w:line="180" w:lineRule="exact"/>
        <w:rPr>
          <w:sz w:val="20"/>
          <w:szCs w:val="20"/>
          <w:color w:val="auto"/>
        </w:rPr>
      </w:pPr>
    </w:p>
    <w:p>
      <w:pPr>
        <w:ind w:right="200" w:firstLine="490"/>
        <w:spacing w:after="0" w:line="282" w:lineRule="auto"/>
        <w:rPr>
          <w:sz w:val="20"/>
          <w:szCs w:val="20"/>
          <w:color w:val="auto"/>
        </w:rPr>
      </w:pPr>
      <w:r>
        <w:rPr>
          <w:rFonts w:ascii="Arial" w:cs="Arial" w:eastAsia="Arial" w:hAnsi="Arial"/>
          <w:sz w:val="20"/>
          <w:szCs w:val="20"/>
          <w:color w:val="231F20"/>
        </w:rPr>
        <w:t>The Black-Scholes option pricing model requires the use of highly subjective assumptions which determine the fair value of stock-based awards. These assumptions include:</w:t>
      </w:r>
    </w:p>
    <w:p>
      <w:pPr>
        <w:spacing w:after="0" w:line="53" w:lineRule="exact"/>
        <w:rPr>
          <w:sz w:val="20"/>
          <w:szCs w:val="20"/>
          <w:color w:val="auto"/>
        </w:rPr>
      </w:pPr>
    </w:p>
    <w:p>
      <w:pPr>
        <w:ind w:left="980" w:right="280" w:hanging="490"/>
        <w:spacing w:after="0" w:line="254" w:lineRule="auto"/>
        <w:tabs>
          <w:tab w:leader="none" w:pos="980" w:val="left"/>
        </w:tabs>
        <w:numPr>
          <w:ilvl w:val="0"/>
          <w:numId w:val="56"/>
        </w:numPr>
        <w:rPr>
          <w:rFonts w:ascii="Arial" w:cs="Arial" w:eastAsia="Arial" w:hAnsi="Arial"/>
          <w:sz w:val="20"/>
          <w:szCs w:val="20"/>
          <w:color w:val="231F20"/>
        </w:rPr>
      </w:pPr>
      <w:r>
        <w:rPr>
          <w:rFonts w:ascii="Arial" w:cs="Arial" w:eastAsia="Arial" w:hAnsi="Arial"/>
          <w:sz w:val="20"/>
          <w:szCs w:val="20"/>
          <w:color w:val="231F20"/>
        </w:rPr>
        <w:t>Expected Term—The expected term represents the period that stock-based awards are expected to be outstanding. The expected term for option grants is determined using the simplified method. The simplified method deems the term to be the average of the time-to-vesting and the contractual term of the stock-based awards.</w:t>
      </w:r>
    </w:p>
    <w:p>
      <w:pPr>
        <w:spacing w:after="0" w:line="79" w:lineRule="exact"/>
        <w:rPr>
          <w:rFonts w:ascii="Arial" w:cs="Arial" w:eastAsia="Arial" w:hAnsi="Arial"/>
          <w:sz w:val="20"/>
          <w:szCs w:val="20"/>
          <w:color w:val="231F20"/>
        </w:rPr>
      </w:pPr>
    </w:p>
    <w:p>
      <w:pPr>
        <w:ind w:left="980" w:right="80" w:hanging="490"/>
        <w:spacing w:after="0" w:line="244" w:lineRule="auto"/>
        <w:tabs>
          <w:tab w:leader="none" w:pos="980" w:val="left"/>
        </w:tabs>
        <w:numPr>
          <w:ilvl w:val="0"/>
          <w:numId w:val="56"/>
        </w:numPr>
        <w:rPr>
          <w:rFonts w:ascii="Arial" w:cs="Arial" w:eastAsia="Arial" w:hAnsi="Arial"/>
          <w:sz w:val="20"/>
          <w:szCs w:val="20"/>
          <w:color w:val="231F20"/>
        </w:rPr>
      </w:pPr>
      <w:r>
        <w:rPr>
          <w:rFonts w:ascii="Arial" w:cs="Arial" w:eastAsia="Arial" w:hAnsi="Arial"/>
          <w:sz w:val="20"/>
          <w:szCs w:val="20"/>
          <w:color w:val="231F20"/>
        </w:rPr>
        <w:t>Expected Volatility—Through November 2025, the Company used an average historical stock price volatility of a peer group of comparable publicly traded companies in biotechnology and pharmaceutical-related industries to be representative of its expected future stock price volatility, as the Company had limited trading history for its common stock. Beginning in December 2025, after sufficient historical trading data of the Company’s own common stock on the Nasdaq Global Market became available, the Company adopted a blended volatility methodology that combines its historical volatility with that of a peer group, weighing the volatility of its peer group for the amount of time prior to the March 2022 IPO so that the blended volatility term equals the expected term of the related stock-based award. The comparable companies were chosen based on their similar size, stage in the life cycle and area of specialty. For each grant, historical volatility is measured over a period equivalent to the expected term.</w:t>
      </w:r>
    </w:p>
    <w:p>
      <w:pPr>
        <w:spacing w:after="0" w:line="95" w:lineRule="exact"/>
        <w:rPr>
          <w:rFonts w:ascii="Arial" w:cs="Arial" w:eastAsia="Arial" w:hAnsi="Arial"/>
          <w:sz w:val="20"/>
          <w:szCs w:val="20"/>
          <w:color w:val="231F20"/>
        </w:rPr>
      </w:pPr>
    </w:p>
    <w:p>
      <w:pPr>
        <w:ind w:left="980" w:right="80" w:hanging="490"/>
        <w:spacing w:after="0" w:line="282" w:lineRule="auto"/>
        <w:tabs>
          <w:tab w:leader="none" w:pos="980" w:val="left"/>
        </w:tabs>
        <w:numPr>
          <w:ilvl w:val="0"/>
          <w:numId w:val="56"/>
        </w:numPr>
        <w:rPr>
          <w:rFonts w:ascii="Arial" w:cs="Arial" w:eastAsia="Arial" w:hAnsi="Arial"/>
          <w:sz w:val="20"/>
          <w:szCs w:val="20"/>
          <w:color w:val="231F20"/>
        </w:rPr>
      </w:pPr>
      <w:r>
        <w:rPr>
          <w:rFonts w:ascii="Arial" w:cs="Arial" w:eastAsia="Arial" w:hAnsi="Arial"/>
          <w:sz w:val="20"/>
          <w:szCs w:val="20"/>
          <w:color w:val="231F20"/>
        </w:rPr>
        <w:t>Risk-Free Interest Rate—The risk-free interest rate is based on the U.S. Treasury zero-coupon issues in effect at the time of grant for periods corresponding with the expected term of option.</w:t>
      </w:r>
    </w:p>
    <w:p>
      <w:pPr>
        <w:spacing w:after="0" w:line="53" w:lineRule="exact"/>
        <w:rPr>
          <w:rFonts w:ascii="Arial" w:cs="Arial" w:eastAsia="Arial" w:hAnsi="Arial"/>
          <w:sz w:val="20"/>
          <w:szCs w:val="20"/>
          <w:color w:val="231F20"/>
        </w:rPr>
      </w:pPr>
    </w:p>
    <w:p>
      <w:pPr>
        <w:ind w:left="980" w:right="280" w:hanging="490"/>
        <w:spacing w:after="0" w:line="282" w:lineRule="auto"/>
        <w:tabs>
          <w:tab w:leader="none" w:pos="980" w:val="left"/>
        </w:tabs>
        <w:numPr>
          <w:ilvl w:val="0"/>
          <w:numId w:val="56"/>
        </w:numPr>
        <w:rPr>
          <w:rFonts w:ascii="Arial" w:cs="Arial" w:eastAsia="Arial" w:hAnsi="Arial"/>
          <w:sz w:val="20"/>
          <w:szCs w:val="20"/>
          <w:color w:val="231F20"/>
        </w:rPr>
      </w:pPr>
      <w:r>
        <w:rPr>
          <w:rFonts w:ascii="Arial" w:cs="Arial" w:eastAsia="Arial" w:hAnsi="Arial"/>
          <w:sz w:val="20"/>
          <w:szCs w:val="20"/>
          <w:color w:val="231F20"/>
        </w:rPr>
        <w:t>Expected Dividend Rate—The Company has never paid dividends on its common stock and has no plans to pay dividends on its common stock. Therefore, the Company used an expected dividend yield of zero.</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The following weighted average assumptions were used to value options granted during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231F20"/>
                <w:w w:val="99"/>
              </w:rPr>
              <w:t>Year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231F20"/>
              </w:rPr>
              <w:t>Year Ended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231F20"/>
                <w:w w:val="99"/>
              </w:rPr>
              <w:t>December 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December 31,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26"/>
              <w:spacing w:after="0"/>
              <w:rPr>
                <w:sz w:val="20"/>
                <w:szCs w:val="20"/>
                <w:color w:val="auto"/>
              </w:rPr>
            </w:pPr>
            <w:r>
              <w:rPr>
                <w:rFonts w:ascii="Arial" w:cs="Arial" w:eastAsia="Arial" w:hAnsi="Arial"/>
                <w:sz w:val="16"/>
                <w:szCs w:val="16"/>
                <w:b w:val="1"/>
                <w:bCs w:val="1"/>
                <w:color w:val="231F20"/>
              </w:rPr>
              <w:t>2025</w:t>
            </w:r>
          </w:p>
        </w:tc>
        <w:tc>
          <w:tcPr>
            <w:tcW w:w="120" w:type="dxa"/>
            <w:vAlign w:val="bottom"/>
          </w:tcPr>
          <w:p>
            <w:pPr>
              <w:spacing w:after="0"/>
              <w:rPr>
                <w:sz w:val="17"/>
                <w:szCs w:val="17"/>
                <w:color w:val="auto"/>
              </w:rPr>
            </w:pPr>
          </w:p>
        </w:tc>
        <w:tc>
          <w:tcPr>
            <w:tcW w:w="1260" w:type="dxa"/>
            <w:vAlign w:val="bottom"/>
            <w:gridSpan w:val="3"/>
          </w:tcPr>
          <w:p>
            <w:pPr>
              <w:jc w:val="right"/>
              <w:ind w:right="294"/>
              <w:spacing w:after="0"/>
              <w:rPr>
                <w:sz w:val="20"/>
                <w:szCs w:val="20"/>
                <w:color w:val="auto"/>
              </w:rPr>
            </w:pPr>
            <w:r>
              <w:rPr>
                <w:rFonts w:ascii="Arial" w:cs="Arial" w:eastAsia="Arial" w:hAnsi="Arial"/>
                <w:sz w:val="16"/>
                <w:szCs w:val="16"/>
                <w:b w:val="1"/>
                <w:bCs w:val="1"/>
                <w:color w:val="231F20"/>
              </w:rPr>
              <w:t>2024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4400" w:type="dxa"/>
            <w:vAlign w:val="bottom"/>
            <w:tcBorders>
              <w:top w:val="single" w:sz="8" w:color="EBECEC"/>
            </w:tcBorders>
            <w:gridSpan w:val="2"/>
            <w:shd w:val="clear" w:color="auto" w:fill="EBECEC"/>
          </w:tcPr>
          <w:p>
            <w:pPr>
              <w:spacing w:after="0"/>
              <w:rPr>
                <w:sz w:val="20"/>
                <w:szCs w:val="20"/>
                <w:color w:val="auto"/>
              </w:rPr>
            </w:pPr>
            <w:r>
              <w:rPr>
                <w:rFonts w:ascii="Arial" w:cs="Arial" w:eastAsia="Arial" w:hAnsi="Arial"/>
                <w:sz w:val="20"/>
                <w:szCs w:val="20"/>
                <w:color w:val="231F20"/>
              </w:rPr>
              <w:t>Expected term</w:t>
            </w:r>
          </w:p>
        </w:tc>
        <w:tc>
          <w:tcPr>
            <w:tcW w:w="1220" w:type="dxa"/>
            <w:vAlign w:val="bottom"/>
            <w:tcBorders>
              <w:top w:val="single" w:sz="8" w:color="EBECEC"/>
            </w:tcBorders>
            <w:shd w:val="clear" w:color="auto" w:fill="EBECEC"/>
          </w:tcPr>
          <w:p>
            <w:pPr>
              <w:spacing w:after="0"/>
              <w:rPr>
                <w:sz w:val="20"/>
                <w:szCs w:val="20"/>
                <w:color w:val="auto"/>
              </w:rPr>
            </w:pPr>
          </w:p>
        </w:tc>
        <w:tc>
          <w:tcPr>
            <w:tcW w:w="120" w:type="dxa"/>
            <w:vAlign w:val="bottom"/>
            <w:tcBorders>
              <w:top w:val="single" w:sz="8" w:color="EBECEC"/>
            </w:tcBorders>
            <w:shd w:val="clear" w:color="auto" w:fill="EBECEC"/>
          </w:tcPr>
          <w:p>
            <w:pPr>
              <w:spacing w:after="0"/>
              <w:rPr>
                <w:sz w:val="20"/>
                <w:szCs w:val="20"/>
                <w:color w:val="auto"/>
              </w:rPr>
            </w:pPr>
          </w:p>
        </w:tc>
        <w:tc>
          <w:tcPr>
            <w:tcW w:w="20" w:type="dxa"/>
            <w:vAlign w:val="bottom"/>
            <w:tcBorders>
              <w:top w:val="single" w:sz="8" w:color="231F20"/>
            </w:tcBorders>
            <w:shd w:val="clear" w:color="auto" w:fill="EBECEC"/>
          </w:tcPr>
          <w:p>
            <w:pPr>
              <w:spacing w:after="0"/>
              <w:rPr>
                <w:sz w:val="20"/>
                <w:szCs w:val="20"/>
                <w:color w:val="auto"/>
              </w:rPr>
            </w:pPr>
          </w:p>
        </w:tc>
        <w:tc>
          <w:tcPr>
            <w:tcW w:w="100" w:type="dxa"/>
            <w:vAlign w:val="bottom"/>
            <w:tcBorders>
              <w:top w:val="single" w:sz="8" w:color="231F20"/>
            </w:tcBorders>
            <w:shd w:val="clear" w:color="auto" w:fill="EBECEC"/>
          </w:tcPr>
          <w:p>
            <w:pPr>
              <w:spacing w:after="0"/>
              <w:rPr>
                <w:sz w:val="20"/>
                <w:szCs w:val="20"/>
                <w:color w:val="auto"/>
              </w:rPr>
            </w:pPr>
          </w:p>
        </w:tc>
        <w:tc>
          <w:tcPr>
            <w:tcW w:w="1260" w:type="dxa"/>
            <w:vAlign w:val="bottom"/>
            <w:tcBorders>
              <w:top w:val="single" w:sz="8" w:color="231F20"/>
            </w:tcBorders>
            <w:gridSpan w:val="2"/>
            <w:shd w:val="clear" w:color="auto" w:fill="EBECEC"/>
          </w:tcPr>
          <w:p>
            <w:pPr>
              <w:jc w:val="right"/>
              <w:ind w:right="240"/>
              <w:spacing w:after="0"/>
              <w:rPr>
                <w:sz w:val="20"/>
                <w:szCs w:val="20"/>
                <w:color w:val="auto"/>
              </w:rPr>
            </w:pPr>
            <w:r>
              <w:rPr>
                <w:rFonts w:ascii="Arial" w:cs="Arial" w:eastAsia="Arial" w:hAnsi="Arial"/>
                <w:sz w:val="20"/>
                <w:szCs w:val="20"/>
                <w:color w:val="231F20"/>
              </w:rPr>
              <w:t>6.20 years</w:t>
            </w:r>
          </w:p>
        </w:tc>
        <w:tc>
          <w:tcPr>
            <w:tcW w:w="20" w:type="dxa"/>
            <w:vAlign w:val="bottom"/>
            <w:tcBorders>
              <w:top w:val="single" w:sz="8" w:color="EBECEC"/>
            </w:tcBorders>
            <w:shd w:val="clear" w:color="auto" w:fill="EBECEC"/>
          </w:tcPr>
          <w:p>
            <w:pPr>
              <w:spacing w:after="0"/>
              <w:rPr>
                <w:sz w:val="20"/>
                <w:szCs w:val="20"/>
                <w:color w:val="auto"/>
              </w:rPr>
            </w:pPr>
          </w:p>
        </w:tc>
        <w:tc>
          <w:tcPr>
            <w:tcW w:w="120" w:type="dxa"/>
            <w:vAlign w:val="bottom"/>
            <w:tcBorders>
              <w:top w:val="single" w:sz="8" w:color="EBECEC"/>
            </w:tcBorders>
            <w:shd w:val="clear" w:color="auto" w:fill="EBECEC"/>
          </w:tcPr>
          <w:p>
            <w:pPr>
              <w:spacing w:after="0"/>
              <w:rPr>
                <w:sz w:val="20"/>
                <w:szCs w:val="20"/>
                <w:color w:val="auto"/>
              </w:rPr>
            </w:pPr>
          </w:p>
        </w:tc>
        <w:tc>
          <w:tcPr>
            <w:tcW w:w="1200" w:type="dxa"/>
            <w:vAlign w:val="bottom"/>
            <w:tcBorders>
              <w:top w:val="single" w:sz="8" w:color="231F20"/>
            </w:tcBorders>
            <w:gridSpan w:val="2"/>
            <w:shd w:val="clear" w:color="auto" w:fill="EBECEC"/>
          </w:tcPr>
          <w:p>
            <w:pPr>
              <w:jc w:val="right"/>
              <w:ind w:right="60"/>
              <w:spacing w:after="0"/>
              <w:rPr>
                <w:sz w:val="20"/>
                <w:szCs w:val="20"/>
                <w:color w:val="auto"/>
              </w:rPr>
            </w:pPr>
            <w:r>
              <w:rPr>
                <w:rFonts w:ascii="Arial" w:cs="Arial" w:eastAsia="Arial" w:hAnsi="Arial"/>
                <w:sz w:val="20"/>
                <w:szCs w:val="20"/>
                <w:color w:val="231F20"/>
              </w:rPr>
              <w:t>5.94 years</w:t>
            </w:r>
          </w:p>
        </w:tc>
        <w:tc>
          <w:tcPr>
            <w:tcW w:w="40" w:type="dxa"/>
            <w:vAlign w:val="bottom"/>
            <w:tcBorders>
              <w:top w:val="single" w:sz="8" w:color="231F20"/>
            </w:tcBorders>
            <w:shd w:val="clear" w:color="auto" w:fill="EBECEC"/>
          </w:tcPr>
          <w:p>
            <w:pPr>
              <w:spacing w:after="0"/>
              <w:rPr>
                <w:sz w:val="20"/>
                <w:szCs w:val="20"/>
                <w:color w:val="auto"/>
              </w:rPr>
            </w:pPr>
          </w:p>
        </w:tc>
        <w:tc>
          <w:tcPr>
            <w:tcW w:w="140" w:type="dxa"/>
            <w:vAlign w:val="bottom"/>
            <w:tcBorders>
              <w:top w:val="single" w:sz="8" w:color="231F20"/>
            </w:tcBorders>
            <w:shd w:val="clear" w:color="auto" w:fill="EBECEC"/>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20"/>
                <w:szCs w:val="20"/>
                <w:color w:val="231F20"/>
              </w:rPr>
              <w:t>Expected volatility</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231F20"/>
              </w:rPr>
              <w:t>109.0%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4"/>
          </w:tcPr>
          <w:p>
            <w:pPr>
              <w:jc w:val="right"/>
              <w:spacing w:after="0"/>
              <w:rPr>
                <w:sz w:val="20"/>
                <w:szCs w:val="20"/>
                <w:color w:val="auto"/>
              </w:rPr>
            </w:pPr>
            <w:r>
              <w:rPr>
                <w:rFonts w:ascii="Arial" w:cs="Arial" w:eastAsia="Arial" w:hAnsi="Arial"/>
                <w:sz w:val="20"/>
                <w:szCs w:val="20"/>
                <w:color w:val="231F20"/>
              </w:rPr>
              <w:t>110.6%</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4400" w:type="dxa"/>
            <w:vAlign w:val="bottom"/>
            <w:gridSpan w:val="2"/>
            <w:shd w:val="clear" w:color="auto" w:fill="EBECEC"/>
          </w:tcPr>
          <w:p>
            <w:pPr>
              <w:spacing w:after="0"/>
              <w:rPr>
                <w:sz w:val="20"/>
                <w:szCs w:val="20"/>
                <w:color w:val="auto"/>
              </w:rPr>
            </w:pPr>
            <w:r>
              <w:rPr>
                <w:rFonts w:ascii="Arial" w:cs="Arial" w:eastAsia="Arial" w:hAnsi="Arial"/>
                <w:sz w:val="20"/>
                <w:szCs w:val="20"/>
                <w:color w:val="231F20"/>
              </w:rPr>
              <w:t>Risk-free interest rate</w:t>
            </w:r>
          </w:p>
        </w:tc>
        <w:tc>
          <w:tcPr>
            <w:tcW w:w="122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1260" w:type="dxa"/>
            <w:vAlign w:val="bottom"/>
            <w:gridSpan w:val="2"/>
            <w:shd w:val="clear" w:color="auto" w:fill="EBECEC"/>
          </w:tcPr>
          <w:p>
            <w:pPr>
              <w:jc w:val="right"/>
              <w:ind w:right="40"/>
              <w:spacing w:after="0"/>
              <w:rPr>
                <w:sz w:val="20"/>
                <w:szCs w:val="20"/>
                <w:color w:val="auto"/>
              </w:rPr>
            </w:pPr>
            <w:r>
              <w:rPr>
                <w:rFonts w:ascii="Arial" w:cs="Arial" w:eastAsia="Arial" w:hAnsi="Arial"/>
                <w:sz w:val="20"/>
                <w:szCs w:val="20"/>
                <w:color w:val="231F20"/>
              </w:rPr>
              <w:t>4.15%</w:t>
            </w:r>
          </w:p>
        </w:tc>
        <w:tc>
          <w:tcPr>
            <w:tcW w:w="1520" w:type="dxa"/>
            <w:vAlign w:val="bottom"/>
            <w:gridSpan w:val="6"/>
            <w:shd w:val="clear" w:color="auto" w:fill="EBECEC"/>
          </w:tcPr>
          <w:p>
            <w:pPr>
              <w:jc w:val="right"/>
              <w:spacing w:after="0"/>
              <w:rPr>
                <w:sz w:val="20"/>
                <w:szCs w:val="20"/>
                <w:color w:val="auto"/>
              </w:rPr>
            </w:pPr>
            <w:r>
              <w:rPr>
                <w:rFonts w:ascii="Arial" w:cs="Arial" w:eastAsia="Arial" w:hAnsi="Arial"/>
                <w:sz w:val="20"/>
                <w:szCs w:val="20"/>
                <w:color w:val="231F20"/>
              </w:rPr>
              <w:t>4.28%</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08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20"/>
                <w:szCs w:val="20"/>
                <w:color w:val="231F20"/>
              </w:rPr>
              <w:t>Expected dividend yield</w:t>
            </w: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5"/>
        </w:trPr>
        <w:tc>
          <w:tcPr>
            <w:tcW w:w="5480" w:type="dxa"/>
            <w:vAlign w:val="bottom"/>
            <w:gridSpan w:val="3"/>
          </w:tcPr>
          <w:p>
            <w:pPr>
              <w:spacing w:after="0"/>
              <w:rPr>
                <w:sz w:val="20"/>
                <w:szCs w:val="20"/>
                <w:color w:val="auto"/>
              </w:rPr>
            </w:pPr>
            <w:r>
              <w:rPr>
                <w:rFonts w:ascii="Arial" w:cs="Arial" w:eastAsia="Arial" w:hAnsi="Arial"/>
                <w:sz w:val="20"/>
                <w:szCs w:val="20"/>
                <w:b w:val="1"/>
                <w:bCs w:val="1"/>
                <w:i w:val="1"/>
                <w:iCs w:val="1"/>
                <w:color w:val="231F20"/>
              </w:rPr>
              <w:t>Stock Option Activity</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480" w:type="dxa"/>
            <w:vAlign w:val="bottom"/>
            <w:gridSpan w:val="3"/>
          </w:tcPr>
          <w:p>
            <w:pPr>
              <w:ind w:left="500"/>
              <w:spacing w:after="0"/>
              <w:rPr>
                <w:sz w:val="20"/>
                <w:szCs w:val="20"/>
                <w:color w:val="auto"/>
              </w:rPr>
            </w:pPr>
            <w:r>
              <w:rPr>
                <w:rFonts w:ascii="Arial" w:cs="Arial" w:eastAsia="Arial" w:hAnsi="Arial"/>
                <w:sz w:val="20"/>
                <w:szCs w:val="20"/>
                <w:color w:val="231F20"/>
              </w:rPr>
              <w:t>A summary of the stock plan activity is as follows: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0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231F20"/>
                <w:w w:val="98"/>
              </w:rPr>
              <w:t>Weighted-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231F20"/>
              </w:rPr>
              <w:t>Average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231F20"/>
                <w:w w:val="97"/>
              </w:rPr>
              <w:t>Remaining</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231F20"/>
                <w:w w:val="98"/>
              </w:rPr>
              <w:t>Weighted-</w:t>
            </w:r>
          </w:p>
        </w:tc>
        <w:tc>
          <w:tcPr>
            <w:tcW w:w="20" w:type="dxa"/>
            <w:vAlign w:val="bottom"/>
          </w:tcPr>
          <w:p>
            <w:pPr>
              <w:spacing w:after="0"/>
              <w:rPr>
                <w:sz w:val="16"/>
                <w:szCs w:val="16"/>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231F20"/>
                <w:w w:val="98"/>
              </w:rPr>
              <w:t>Contractual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45"/>
              <w:spacing w:after="0"/>
              <w:rPr>
                <w:sz w:val="20"/>
                <w:szCs w:val="20"/>
                <w:color w:val="auto"/>
              </w:rPr>
            </w:pPr>
            <w:r>
              <w:rPr>
                <w:rFonts w:ascii="Arial" w:cs="Arial" w:eastAsia="Arial" w:hAnsi="Arial"/>
                <w:sz w:val="16"/>
                <w:szCs w:val="16"/>
                <w:b w:val="1"/>
                <w:bCs w:val="1"/>
                <w:color w:val="231F20"/>
              </w:rPr>
              <w:t>Aggregate</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231F20"/>
                <w:w w:val="98"/>
              </w:rPr>
              <w:t>Total Options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231F20"/>
              </w:rPr>
              <w:t>Average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231F20"/>
                <w:w w:val="98"/>
              </w:rPr>
              <w:t>Life</w:t>
            </w:r>
          </w:p>
        </w:tc>
        <w:tc>
          <w:tcPr>
            <w:tcW w:w="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231F20"/>
              </w:rPr>
              <w:t>Intrinsic Value</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231F20"/>
                <w:w w:val="99"/>
              </w:rPr>
              <w:t>Outstanding</w:t>
            </w:r>
          </w:p>
        </w:tc>
        <w:tc>
          <w:tcPr>
            <w:tcW w:w="2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231F20"/>
                <w:w w:val="98"/>
              </w:rPr>
              <w:t>Exercise Price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231F20"/>
              </w:rPr>
              <w:t>(in years)</w:t>
            </w:r>
          </w:p>
        </w:tc>
        <w:tc>
          <w:tcPr>
            <w:tcW w:w="4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231F20"/>
              </w:rPr>
              <w:t>(in thousands)</w:t>
            </w:r>
          </w:p>
        </w:tc>
        <w:tc>
          <w:tcPr>
            <w:tcW w:w="0" w:type="dxa"/>
            <w:vAlign w:val="bottom"/>
          </w:tcPr>
          <w:p>
            <w:pPr>
              <w:spacing w:after="0"/>
              <w:rPr>
                <w:sz w:val="1"/>
                <w:szCs w:val="1"/>
                <w:color w:val="auto"/>
              </w:rPr>
            </w:pPr>
          </w:p>
        </w:tc>
      </w:tr>
      <w:tr>
        <w:trPr>
          <w:trHeight w:val="225"/>
        </w:trPr>
        <w:tc>
          <w:tcPr>
            <w:tcW w:w="5480" w:type="dxa"/>
            <w:vAlign w:val="bottom"/>
            <w:tcBorders>
              <w:top w:val="single" w:sz="8" w:color="EBECEC"/>
            </w:tcBorders>
            <w:gridSpan w:val="3"/>
            <w:shd w:val="clear" w:color="auto" w:fill="EBECEC"/>
          </w:tcPr>
          <w:p>
            <w:pPr>
              <w:spacing w:after="0" w:line="225" w:lineRule="exact"/>
              <w:rPr>
                <w:sz w:val="20"/>
                <w:szCs w:val="20"/>
                <w:color w:val="auto"/>
              </w:rPr>
            </w:pPr>
            <w:r>
              <w:rPr>
                <w:rFonts w:ascii="Arial" w:cs="Arial" w:eastAsia="Arial" w:hAnsi="Arial"/>
                <w:sz w:val="20"/>
                <w:szCs w:val="20"/>
                <w:color w:val="231F20"/>
              </w:rPr>
              <w:t>Outstanding at December 31, 2024</w:t>
            </w:r>
          </w:p>
        </w:tc>
        <w:tc>
          <w:tcPr>
            <w:tcW w:w="1220" w:type="dxa"/>
            <w:vAlign w:val="bottom"/>
            <w:tcBorders>
              <w:top w:val="single" w:sz="8" w:color="231F20"/>
            </w:tcBorders>
            <w:shd w:val="clear" w:color="auto" w:fill="EBECEC"/>
          </w:tcPr>
          <w:p>
            <w:pPr>
              <w:jc w:val="right"/>
              <w:ind w:right="5"/>
              <w:spacing w:after="0" w:line="225" w:lineRule="exact"/>
              <w:rPr>
                <w:sz w:val="20"/>
                <w:szCs w:val="20"/>
                <w:color w:val="auto"/>
              </w:rPr>
            </w:pPr>
            <w:r>
              <w:rPr>
                <w:rFonts w:ascii="Arial" w:cs="Arial" w:eastAsia="Arial" w:hAnsi="Arial"/>
                <w:sz w:val="20"/>
                <w:szCs w:val="20"/>
                <w:color w:val="231F20"/>
              </w:rPr>
              <w:t>4,890,843</w:t>
            </w:r>
          </w:p>
        </w:tc>
        <w:tc>
          <w:tcPr>
            <w:tcW w:w="120" w:type="dxa"/>
            <w:vAlign w:val="bottom"/>
            <w:tcBorders>
              <w:top w:val="single" w:sz="8" w:color="EBECEC"/>
            </w:tcBorders>
            <w:shd w:val="clear" w:color="auto" w:fill="EBECEC"/>
          </w:tcPr>
          <w:p>
            <w:pPr>
              <w:spacing w:after="0"/>
              <w:rPr>
                <w:sz w:val="19"/>
                <w:szCs w:val="19"/>
                <w:color w:val="auto"/>
              </w:rPr>
            </w:pPr>
          </w:p>
        </w:tc>
        <w:tc>
          <w:tcPr>
            <w:tcW w:w="20" w:type="dxa"/>
            <w:vAlign w:val="bottom"/>
            <w:tcBorders>
              <w:top w:val="single" w:sz="8" w:color="EBECEC"/>
            </w:tcBorders>
            <w:shd w:val="clear" w:color="auto" w:fill="EBECEC"/>
          </w:tcPr>
          <w:p>
            <w:pPr>
              <w:spacing w:after="0"/>
              <w:rPr>
                <w:sz w:val="19"/>
                <w:szCs w:val="19"/>
                <w:color w:val="auto"/>
              </w:rPr>
            </w:pPr>
          </w:p>
        </w:tc>
        <w:tc>
          <w:tcPr>
            <w:tcW w:w="100" w:type="dxa"/>
            <w:vAlign w:val="bottom"/>
            <w:tcBorders>
              <w:top w:val="single" w:sz="8" w:color="231F20"/>
            </w:tcBorders>
            <w:shd w:val="clear" w:color="auto" w:fill="EBECEC"/>
          </w:tcPr>
          <w:p>
            <w:pPr>
              <w:jc w:val="right"/>
              <w:spacing w:after="0" w:line="225" w:lineRule="exact"/>
              <w:rPr>
                <w:sz w:val="20"/>
                <w:szCs w:val="20"/>
                <w:color w:val="auto"/>
              </w:rPr>
            </w:pPr>
            <w:r>
              <w:rPr>
                <w:rFonts w:ascii="Arial" w:cs="Arial" w:eastAsia="Arial" w:hAnsi="Arial"/>
                <w:sz w:val="20"/>
                <w:szCs w:val="20"/>
                <w:color w:val="231F20"/>
                <w:w w:val="71"/>
              </w:rPr>
              <w:t>$</w:t>
            </w:r>
          </w:p>
        </w:tc>
        <w:tc>
          <w:tcPr>
            <w:tcW w:w="1140" w:type="dxa"/>
            <w:vAlign w:val="bottom"/>
            <w:tcBorders>
              <w:top w:val="single" w:sz="8" w:color="231F20"/>
            </w:tcBorders>
            <w:shd w:val="clear" w:color="auto" w:fill="EBECEC"/>
          </w:tcPr>
          <w:p>
            <w:pPr>
              <w:jc w:val="right"/>
              <w:ind w:right="26"/>
              <w:spacing w:after="0" w:line="225" w:lineRule="exact"/>
              <w:rPr>
                <w:sz w:val="20"/>
                <w:szCs w:val="20"/>
                <w:color w:val="auto"/>
              </w:rPr>
            </w:pPr>
            <w:r>
              <w:rPr>
                <w:rFonts w:ascii="Arial" w:cs="Arial" w:eastAsia="Arial" w:hAnsi="Arial"/>
                <w:sz w:val="20"/>
                <w:szCs w:val="20"/>
                <w:color w:val="231F20"/>
              </w:rPr>
              <w:t>8.23</w:t>
            </w:r>
          </w:p>
        </w:tc>
        <w:tc>
          <w:tcPr>
            <w:tcW w:w="120" w:type="dxa"/>
            <w:vAlign w:val="bottom"/>
            <w:tcBorders>
              <w:top w:val="single" w:sz="8" w:color="EBECEC"/>
            </w:tcBorders>
            <w:shd w:val="clear" w:color="auto" w:fill="EBECEC"/>
          </w:tcPr>
          <w:p>
            <w:pPr>
              <w:spacing w:after="0"/>
              <w:rPr>
                <w:sz w:val="19"/>
                <w:szCs w:val="19"/>
                <w:color w:val="auto"/>
              </w:rPr>
            </w:pPr>
          </w:p>
        </w:tc>
        <w:tc>
          <w:tcPr>
            <w:tcW w:w="20" w:type="dxa"/>
            <w:vAlign w:val="bottom"/>
            <w:tcBorders>
              <w:top w:val="single" w:sz="8" w:color="EBECEC"/>
            </w:tcBorders>
            <w:shd w:val="clear" w:color="auto" w:fill="EBECEC"/>
          </w:tcPr>
          <w:p>
            <w:pPr>
              <w:spacing w:after="0"/>
              <w:rPr>
                <w:sz w:val="19"/>
                <w:szCs w:val="19"/>
                <w:color w:val="auto"/>
              </w:rPr>
            </w:pPr>
          </w:p>
        </w:tc>
        <w:tc>
          <w:tcPr>
            <w:tcW w:w="1240" w:type="dxa"/>
            <w:vAlign w:val="bottom"/>
            <w:tcBorders>
              <w:top w:val="single" w:sz="8" w:color="231F20"/>
            </w:tcBorders>
            <w:gridSpan w:val="2"/>
            <w:shd w:val="clear" w:color="auto" w:fill="EBECEC"/>
          </w:tcPr>
          <w:p>
            <w:pPr>
              <w:jc w:val="right"/>
              <w:ind w:right="14"/>
              <w:spacing w:after="0" w:line="225" w:lineRule="exact"/>
              <w:rPr>
                <w:sz w:val="20"/>
                <w:szCs w:val="20"/>
                <w:color w:val="auto"/>
              </w:rPr>
            </w:pPr>
            <w:r>
              <w:rPr>
                <w:rFonts w:ascii="Arial" w:cs="Arial" w:eastAsia="Arial" w:hAnsi="Arial"/>
                <w:sz w:val="20"/>
                <w:szCs w:val="20"/>
                <w:color w:val="231F20"/>
              </w:rPr>
              <w:t>6.66</w:t>
            </w:r>
          </w:p>
        </w:tc>
        <w:tc>
          <w:tcPr>
            <w:tcW w:w="80" w:type="dxa"/>
            <w:vAlign w:val="bottom"/>
            <w:tcBorders>
              <w:top w:val="single" w:sz="8" w:color="EBECEC"/>
            </w:tcBorders>
            <w:shd w:val="clear" w:color="auto" w:fill="EBECEC"/>
          </w:tcPr>
          <w:p>
            <w:pPr>
              <w:spacing w:after="0"/>
              <w:rPr>
                <w:sz w:val="19"/>
                <w:szCs w:val="19"/>
                <w:color w:val="auto"/>
              </w:rPr>
            </w:pPr>
          </w:p>
        </w:tc>
        <w:tc>
          <w:tcPr>
            <w:tcW w:w="40" w:type="dxa"/>
            <w:vAlign w:val="bottom"/>
            <w:tcBorders>
              <w:top w:val="single" w:sz="8" w:color="EBECEC"/>
            </w:tcBorders>
            <w:shd w:val="clear" w:color="auto" w:fill="EBECEC"/>
          </w:tcPr>
          <w:p>
            <w:pPr>
              <w:spacing w:after="0"/>
              <w:rPr>
                <w:sz w:val="19"/>
                <w:szCs w:val="19"/>
                <w:color w:val="auto"/>
              </w:rPr>
            </w:pPr>
          </w:p>
        </w:tc>
        <w:tc>
          <w:tcPr>
            <w:tcW w:w="140" w:type="dxa"/>
            <w:vAlign w:val="bottom"/>
            <w:tcBorders>
              <w:top w:val="single" w:sz="8" w:color="231F20"/>
            </w:tcBorders>
            <w:shd w:val="clear" w:color="auto" w:fill="EBECEC"/>
          </w:tcPr>
          <w:p>
            <w:pPr>
              <w:spacing w:after="0" w:line="225" w:lineRule="exact"/>
              <w:rPr>
                <w:sz w:val="20"/>
                <w:szCs w:val="20"/>
                <w:color w:val="auto"/>
              </w:rPr>
            </w:pPr>
            <w:r>
              <w:rPr>
                <w:rFonts w:ascii="Arial" w:cs="Arial" w:eastAsia="Arial" w:hAnsi="Arial"/>
                <w:sz w:val="20"/>
                <w:szCs w:val="20"/>
                <w:color w:val="231F20"/>
              </w:rPr>
              <w:t>$</w:t>
            </w:r>
          </w:p>
        </w:tc>
        <w:tc>
          <w:tcPr>
            <w:tcW w:w="1080" w:type="dxa"/>
            <w:vAlign w:val="bottom"/>
            <w:tcBorders>
              <w:top w:val="single" w:sz="8" w:color="231F20"/>
            </w:tcBorders>
            <w:shd w:val="clear" w:color="auto" w:fill="EBECEC"/>
          </w:tcPr>
          <w:p>
            <w:pPr>
              <w:jc w:val="right"/>
              <w:spacing w:after="0" w:line="225" w:lineRule="exact"/>
              <w:rPr>
                <w:sz w:val="20"/>
                <w:szCs w:val="20"/>
                <w:color w:val="auto"/>
              </w:rPr>
            </w:pPr>
            <w:r>
              <w:rPr>
                <w:rFonts w:ascii="Arial" w:cs="Arial" w:eastAsia="Arial" w:hAnsi="Arial"/>
                <w:sz w:val="20"/>
                <w:szCs w:val="20"/>
                <w:color w:val="231F20"/>
              </w:rPr>
              <w:t>330</w:t>
            </w:r>
          </w:p>
        </w:tc>
        <w:tc>
          <w:tcPr>
            <w:tcW w:w="0" w:type="dxa"/>
            <w:vAlign w:val="bottom"/>
          </w:tcPr>
          <w:p>
            <w:pPr>
              <w:spacing w:after="0"/>
              <w:rPr>
                <w:sz w:val="1"/>
                <w:szCs w:val="1"/>
                <w:color w:val="auto"/>
              </w:rPr>
            </w:pPr>
          </w:p>
        </w:tc>
      </w:tr>
      <w:tr>
        <w:trPr>
          <w:trHeight w:val="230"/>
        </w:trPr>
        <w:tc>
          <w:tcPr>
            <w:tcW w:w="5480" w:type="dxa"/>
            <w:vAlign w:val="bottom"/>
            <w:gridSpan w:val="3"/>
          </w:tcPr>
          <w:p>
            <w:pPr>
              <w:ind w:left="280"/>
              <w:spacing w:after="0"/>
              <w:rPr>
                <w:sz w:val="20"/>
                <w:szCs w:val="20"/>
                <w:color w:val="auto"/>
              </w:rPr>
            </w:pPr>
            <w:r>
              <w:rPr>
                <w:rFonts w:ascii="Arial" w:cs="Arial" w:eastAsia="Arial" w:hAnsi="Arial"/>
                <w:sz w:val="20"/>
                <w:szCs w:val="20"/>
                <w:color w:val="231F20"/>
              </w:rPr>
              <w:t>Granted</w:t>
            </w:r>
          </w:p>
        </w:tc>
        <w:tc>
          <w:tcPr>
            <w:tcW w:w="1220" w:type="dxa"/>
            <w:vAlign w:val="bottom"/>
          </w:tcPr>
          <w:p>
            <w:pPr>
              <w:jc w:val="right"/>
              <w:ind w:right="5"/>
              <w:spacing w:after="0"/>
              <w:rPr>
                <w:sz w:val="20"/>
                <w:szCs w:val="20"/>
                <w:color w:val="auto"/>
              </w:rPr>
            </w:pPr>
            <w:r>
              <w:rPr>
                <w:rFonts w:ascii="Arial" w:cs="Arial" w:eastAsia="Arial" w:hAnsi="Arial"/>
                <w:sz w:val="20"/>
                <w:szCs w:val="20"/>
                <w:color w:val="231F20"/>
              </w:rPr>
              <w:t>1,216,313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6"/>
              <w:spacing w:after="0"/>
              <w:rPr>
                <w:sz w:val="20"/>
                <w:szCs w:val="20"/>
                <w:color w:val="auto"/>
              </w:rPr>
            </w:pPr>
            <w:r>
              <w:rPr>
                <w:rFonts w:ascii="Arial" w:cs="Arial" w:eastAsia="Arial" w:hAnsi="Arial"/>
                <w:sz w:val="20"/>
                <w:szCs w:val="20"/>
                <w:color w:val="231F20"/>
              </w:rPr>
              <w:t>1.14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gridSpan w:val="3"/>
            <w:shd w:val="clear" w:color="auto" w:fill="EBECEC"/>
          </w:tcPr>
          <w:p>
            <w:pPr>
              <w:ind w:left="280"/>
              <w:spacing w:after="0"/>
              <w:rPr>
                <w:sz w:val="20"/>
                <w:szCs w:val="20"/>
                <w:color w:val="auto"/>
              </w:rPr>
            </w:pPr>
            <w:r>
              <w:rPr>
                <w:rFonts w:ascii="Arial" w:cs="Arial" w:eastAsia="Arial" w:hAnsi="Arial"/>
                <w:sz w:val="20"/>
                <w:szCs w:val="20"/>
                <w:color w:val="231F20"/>
              </w:rPr>
              <w:t>Exercised</w:t>
            </w:r>
          </w:p>
        </w:tc>
        <w:tc>
          <w:tcPr>
            <w:tcW w:w="122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(63,124)</w:t>
            </w:r>
          </w:p>
        </w:tc>
        <w:tc>
          <w:tcPr>
            <w:tcW w:w="12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1140" w:type="dxa"/>
            <w:vAlign w:val="bottom"/>
            <w:shd w:val="clear" w:color="auto" w:fill="EBECEC"/>
          </w:tcPr>
          <w:p>
            <w:pPr>
              <w:jc w:val="right"/>
              <w:ind w:right="6"/>
              <w:spacing w:after="0"/>
              <w:rPr>
                <w:sz w:val="20"/>
                <w:szCs w:val="20"/>
                <w:color w:val="auto"/>
              </w:rPr>
            </w:pPr>
            <w:r>
              <w:rPr>
                <w:rFonts w:ascii="Arial" w:cs="Arial" w:eastAsia="Arial" w:hAnsi="Arial"/>
                <w:sz w:val="20"/>
                <w:szCs w:val="20"/>
                <w:color w:val="231F20"/>
              </w:rPr>
              <w:t>0.42</w:t>
            </w:r>
          </w:p>
        </w:tc>
        <w:tc>
          <w:tcPr>
            <w:tcW w:w="12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112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c>
          <w:tcPr>
            <w:tcW w:w="40" w:type="dxa"/>
            <w:vAlign w:val="bottom"/>
            <w:shd w:val="clear" w:color="auto" w:fill="EBECEC"/>
          </w:tcPr>
          <w:p>
            <w:pPr>
              <w:spacing w:after="0"/>
              <w:rPr>
                <w:sz w:val="20"/>
                <w:szCs w:val="20"/>
                <w:color w:val="auto"/>
              </w:rPr>
            </w:pPr>
          </w:p>
        </w:tc>
        <w:tc>
          <w:tcPr>
            <w:tcW w:w="140" w:type="dxa"/>
            <w:vAlign w:val="bottom"/>
            <w:shd w:val="clear" w:color="auto" w:fill="EBECEC"/>
          </w:tcPr>
          <w:p>
            <w:pPr>
              <w:spacing w:after="0"/>
              <w:rPr>
                <w:sz w:val="20"/>
                <w:szCs w:val="20"/>
                <w:color w:val="auto"/>
              </w:rPr>
            </w:pPr>
          </w:p>
        </w:tc>
        <w:tc>
          <w:tcPr>
            <w:tcW w:w="10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EBECEC"/>
            </w:tcBorders>
            <w:gridSpan w:val="3"/>
          </w:tcPr>
          <w:p>
            <w:pPr>
              <w:ind w:left="280"/>
              <w:spacing w:after="0"/>
              <w:rPr>
                <w:sz w:val="20"/>
                <w:szCs w:val="20"/>
                <w:color w:val="auto"/>
              </w:rPr>
            </w:pPr>
            <w:r>
              <w:rPr>
                <w:rFonts w:ascii="Arial" w:cs="Arial" w:eastAsia="Arial" w:hAnsi="Arial"/>
                <w:sz w:val="20"/>
                <w:szCs w:val="20"/>
                <w:color w:val="231F20"/>
              </w:rPr>
              <w:t>Forfeited/expired</w:t>
            </w:r>
          </w:p>
        </w:tc>
        <w:tc>
          <w:tcPr>
            <w:tcW w:w="12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(577,810)</w:t>
            </w:r>
          </w:p>
        </w:tc>
        <w:tc>
          <w:tcPr>
            <w:tcW w:w="120" w:type="dxa"/>
            <w:vAlign w:val="bottom"/>
            <w:tcBorders>
              <w:bottom w:val="single" w:sz="8" w:color="EBECEC"/>
            </w:tcBorders>
          </w:tcPr>
          <w:p>
            <w:pPr>
              <w:spacing w:after="0"/>
              <w:rPr>
                <w:sz w:val="20"/>
                <w:szCs w:val="20"/>
                <w:color w:val="auto"/>
              </w:rPr>
            </w:pPr>
          </w:p>
        </w:tc>
        <w:tc>
          <w:tcPr>
            <w:tcW w:w="20" w:type="dxa"/>
            <w:vAlign w:val="bottom"/>
            <w:tcBorders>
              <w:bottom w:val="single" w:sz="8" w:color="EBECEC"/>
            </w:tcBorders>
          </w:tcPr>
          <w:p>
            <w:pPr>
              <w:spacing w:after="0"/>
              <w:rPr>
                <w:sz w:val="20"/>
                <w:szCs w:val="20"/>
                <w:color w:val="auto"/>
              </w:rPr>
            </w:pPr>
          </w:p>
        </w:tc>
        <w:tc>
          <w:tcPr>
            <w:tcW w:w="100" w:type="dxa"/>
            <w:vAlign w:val="bottom"/>
            <w:tcBorders>
              <w:bottom w:val="single" w:sz="8" w:color="EBECEC"/>
            </w:tcBorders>
          </w:tcPr>
          <w:p>
            <w:pPr>
              <w:spacing w:after="0"/>
              <w:rPr>
                <w:sz w:val="20"/>
                <w:szCs w:val="20"/>
                <w:color w:val="auto"/>
              </w:rPr>
            </w:pPr>
          </w:p>
        </w:tc>
        <w:tc>
          <w:tcPr>
            <w:tcW w:w="1140" w:type="dxa"/>
            <w:vAlign w:val="bottom"/>
            <w:tcBorders>
              <w:bottom w:val="single" w:sz="8" w:color="EBECEC"/>
            </w:tcBorders>
          </w:tcPr>
          <w:p>
            <w:pPr>
              <w:jc w:val="right"/>
              <w:ind w:right="26"/>
              <w:spacing w:after="0"/>
              <w:rPr>
                <w:sz w:val="20"/>
                <w:szCs w:val="20"/>
                <w:color w:val="auto"/>
              </w:rPr>
            </w:pPr>
            <w:r>
              <w:rPr>
                <w:rFonts w:ascii="Arial" w:cs="Arial" w:eastAsia="Arial" w:hAnsi="Arial"/>
                <w:sz w:val="20"/>
                <w:szCs w:val="20"/>
                <w:color w:val="231F20"/>
              </w:rPr>
              <w:t>9.93</w:t>
            </w:r>
          </w:p>
        </w:tc>
        <w:tc>
          <w:tcPr>
            <w:tcW w:w="120" w:type="dxa"/>
            <w:vAlign w:val="bottom"/>
            <w:tcBorders>
              <w:bottom w:val="single" w:sz="8" w:color="EBECEC"/>
            </w:tcBorders>
          </w:tcPr>
          <w:p>
            <w:pPr>
              <w:spacing w:after="0"/>
              <w:rPr>
                <w:sz w:val="20"/>
                <w:szCs w:val="20"/>
                <w:color w:val="auto"/>
              </w:rPr>
            </w:pPr>
          </w:p>
        </w:tc>
        <w:tc>
          <w:tcPr>
            <w:tcW w:w="20" w:type="dxa"/>
            <w:vAlign w:val="bottom"/>
            <w:tcBorders>
              <w:bottom w:val="single" w:sz="8" w:color="EBECEC"/>
            </w:tcBorders>
          </w:tcPr>
          <w:p>
            <w:pPr>
              <w:spacing w:after="0"/>
              <w:rPr>
                <w:sz w:val="20"/>
                <w:szCs w:val="20"/>
                <w:color w:val="auto"/>
              </w:rPr>
            </w:pPr>
          </w:p>
        </w:tc>
        <w:tc>
          <w:tcPr>
            <w:tcW w:w="120" w:type="dxa"/>
            <w:vAlign w:val="bottom"/>
            <w:tcBorders>
              <w:bottom w:val="single" w:sz="8" w:color="EBECEC"/>
            </w:tcBorders>
          </w:tcPr>
          <w:p>
            <w:pPr>
              <w:spacing w:after="0"/>
              <w:rPr>
                <w:sz w:val="20"/>
                <w:szCs w:val="20"/>
                <w:color w:val="auto"/>
              </w:rPr>
            </w:pPr>
          </w:p>
        </w:tc>
        <w:tc>
          <w:tcPr>
            <w:tcW w:w="1120" w:type="dxa"/>
            <w:vAlign w:val="bottom"/>
            <w:tcBorders>
              <w:bottom w:val="single" w:sz="8" w:color="EBECEC"/>
            </w:tcBorders>
          </w:tcPr>
          <w:p>
            <w:pPr>
              <w:spacing w:after="0"/>
              <w:rPr>
                <w:sz w:val="20"/>
                <w:szCs w:val="20"/>
                <w:color w:val="auto"/>
              </w:rPr>
            </w:pPr>
          </w:p>
        </w:tc>
        <w:tc>
          <w:tcPr>
            <w:tcW w:w="80" w:type="dxa"/>
            <w:vAlign w:val="bottom"/>
            <w:tcBorders>
              <w:bottom w:val="single" w:sz="8" w:color="EBECEC"/>
            </w:tcBorders>
          </w:tcPr>
          <w:p>
            <w:pPr>
              <w:spacing w:after="0"/>
              <w:rPr>
                <w:sz w:val="20"/>
                <w:szCs w:val="20"/>
                <w:color w:val="auto"/>
              </w:rPr>
            </w:pPr>
          </w:p>
        </w:tc>
        <w:tc>
          <w:tcPr>
            <w:tcW w:w="40" w:type="dxa"/>
            <w:vAlign w:val="bottom"/>
            <w:tcBorders>
              <w:bottom w:val="single" w:sz="8" w:color="EBECEC"/>
            </w:tcBorders>
          </w:tcPr>
          <w:p>
            <w:pPr>
              <w:spacing w:after="0"/>
              <w:rPr>
                <w:sz w:val="20"/>
                <w:szCs w:val="20"/>
                <w:color w:val="auto"/>
              </w:rPr>
            </w:pPr>
          </w:p>
        </w:tc>
        <w:tc>
          <w:tcPr>
            <w:tcW w:w="140" w:type="dxa"/>
            <w:vAlign w:val="bottom"/>
            <w:tcBorders>
              <w:bottom w:val="single" w:sz="8" w:color="EBECEC"/>
            </w:tcBorders>
          </w:tcPr>
          <w:p>
            <w:pPr>
              <w:spacing w:after="0"/>
              <w:rPr>
                <w:sz w:val="20"/>
                <w:szCs w:val="20"/>
                <w:color w:val="auto"/>
              </w:rPr>
            </w:pPr>
          </w:p>
        </w:tc>
        <w:tc>
          <w:tcPr>
            <w:tcW w:w="1080" w:type="dxa"/>
            <w:vAlign w:val="bottom"/>
            <w:tcBorders>
              <w:bottom w:val="single" w:sz="8" w:color="EBECEC"/>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80" w:type="dxa"/>
            <w:vAlign w:val="bottom"/>
            <w:gridSpan w:val="3"/>
            <w:shd w:val="clear" w:color="auto" w:fill="EBECEC"/>
          </w:tcPr>
          <w:p>
            <w:pPr>
              <w:spacing w:after="0" w:line="225" w:lineRule="exact"/>
              <w:rPr>
                <w:sz w:val="20"/>
                <w:szCs w:val="20"/>
                <w:color w:val="auto"/>
              </w:rPr>
            </w:pPr>
            <w:r>
              <w:rPr>
                <w:rFonts w:ascii="Arial" w:cs="Arial" w:eastAsia="Arial" w:hAnsi="Arial"/>
                <w:sz w:val="20"/>
                <w:szCs w:val="20"/>
                <w:color w:val="231F20"/>
              </w:rPr>
              <w:t>Vested and expected to vest at December 31, 2025</w:t>
            </w:r>
          </w:p>
        </w:tc>
        <w:tc>
          <w:tcPr>
            <w:tcW w:w="1220" w:type="dxa"/>
            <w:vAlign w:val="bottom"/>
            <w:shd w:val="clear" w:color="auto" w:fill="EBECEC"/>
          </w:tcPr>
          <w:p>
            <w:pPr>
              <w:jc w:val="right"/>
              <w:ind w:right="5"/>
              <w:spacing w:after="0" w:line="225" w:lineRule="exact"/>
              <w:rPr>
                <w:sz w:val="20"/>
                <w:szCs w:val="20"/>
                <w:color w:val="auto"/>
              </w:rPr>
            </w:pPr>
            <w:r>
              <w:rPr>
                <w:rFonts w:ascii="Arial" w:cs="Arial" w:eastAsia="Arial" w:hAnsi="Arial"/>
                <w:sz w:val="20"/>
                <w:szCs w:val="20"/>
                <w:color w:val="231F20"/>
              </w:rPr>
              <w:t>5,466,222</w:t>
            </w:r>
          </w:p>
        </w:tc>
        <w:tc>
          <w:tcPr>
            <w:tcW w:w="120" w:type="dxa"/>
            <w:vAlign w:val="bottom"/>
            <w:shd w:val="clear" w:color="auto" w:fill="EBECEC"/>
          </w:tcPr>
          <w:p>
            <w:pPr>
              <w:spacing w:after="0"/>
              <w:rPr>
                <w:sz w:val="19"/>
                <w:szCs w:val="19"/>
                <w:color w:val="auto"/>
              </w:rPr>
            </w:pPr>
          </w:p>
        </w:tc>
        <w:tc>
          <w:tcPr>
            <w:tcW w:w="120" w:type="dxa"/>
            <w:vAlign w:val="bottom"/>
            <w:gridSpan w:val="2"/>
            <w:shd w:val="clear" w:color="auto" w:fill="EBECEC"/>
          </w:tcPr>
          <w:p>
            <w:pPr>
              <w:jc w:val="right"/>
              <w:spacing w:after="0" w:line="225" w:lineRule="exact"/>
              <w:rPr>
                <w:sz w:val="20"/>
                <w:szCs w:val="20"/>
                <w:color w:val="auto"/>
              </w:rPr>
            </w:pPr>
            <w:r>
              <w:rPr>
                <w:rFonts w:ascii="Arial" w:cs="Arial" w:eastAsia="Arial" w:hAnsi="Arial"/>
                <w:sz w:val="20"/>
                <w:szCs w:val="20"/>
                <w:color w:val="231F20"/>
                <w:w w:val="89"/>
              </w:rPr>
              <w:t>$</w:t>
            </w:r>
          </w:p>
        </w:tc>
        <w:tc>
          <w:tcPr>
            <w:tcW w:w="1140" w:type="dxa"/>
            <w:vAlign w:val="bottom"/>
            <w:shd w:val="clear" w:color="auto" w:fill="EBECEC"/>
          </w:tcPr>
          <w:p>
            <w:pPr>
              <w:jc w:val="right"/>
              <w:ind w:right="26"/>
              <w:spacing w:after="0" w:line="225" w:lineRule="exact"/>
              <w:rPr>
                <w:sz w:val="20"/>
                <w:szCs w:val="20"/>
                <w:color w:val="auto"/>
              </w:rPr>
            </w:pPr>
            <w:r>
              <w:rPr>
                <w:rFonts w:ascii="Arial" w:cs="Arial" w:eastAsia="Arial" w:hAnsi="Arial"/>
                <w:sz w:val="20"/>
                <w:szCs w:val="20"/>
                <w:color w:val="231F20"/>
              </w:rPr>
              <w:t>6.56</w:t>
            </w:r>
          </w:p>
        </w:tc>
        <w:tc>
          <w:tcPr>
            <w:tcW w:w="120" w:type="dxa"/>
            <w:vAlign w:val="bottom"/>
            <w:shd w:val="clear" w:color="auto" w:fill="EBECEC"/>
          </w:tcPr>
          <w:p>
            <w:pPr>
              <w:spacing w:after="0"/>
              <w:rPr>
                <w:sz w:val="19"/>
                <w:szCs w:val="19"/>
                <w:color w:val="auto"/>
              </w:rPr>
            </w:pPr>
          </w:p>
        </w:tc>
        <w:tc>
          <w:tcPr>
            <w:tcW w:w="1260" w:type="dxa"/>
            <w:vAlign w:val="bottom"/>
            <w:gridSpan w:val="3"/>
            <w:shd w:val="clear" w:color="auto" w:fill="EBECEC"/>
          </w:tcPr>
          <w:p>
            <w:pPr>
              <w:jc w:val="right"/>
              <w:ind w:right="14"/>
              <w:spacing w:after="0" w:line="225" w:lineRule="exact"/>
              <w:rPr>
                <w:sz w:val="20"/>
                <w:szCs w:val="20"/>
                <w:color w:val="auto"/>
              </w:rPr>
            </w:pPr>
            <w:r>
              <w:rPr>
                <w:rFonts w:ascii="Arial" w:cs="Arial" w:eastAsia="Arial" w:hAnsi="Arial"/>
                <w:sz w:val="20"/>
                <w:szCs w:val="20"/>
                <w:color w:val="231F20"/>
              </w:rPr>
              <w:t>7.21</w:t>
            </w:r>
          </w:p>
        </w:tc>
        <w:tc>
          <w:tcPr>
            <w:tcW w:w="80" w:type="dxa"/>
            <w:vAlign w:val="bottom"/>
            <w:shd w:val="clear" w:color="auto" w:fill="EBECEC"/>
          </w:tcPr>
          <w:p>
            <w:pPr>
              <w:spacing w:after="0"/>
              <w:rPr>
                <w:sz w:val="19"/>
                <w:szCs w:val="19"/>
                <w:color w:val="auto"/>
              </w:rPr>
            </w:pPr>
          </w:p>
        </w:tc>
        <w:tc>
          <w:tcPr>
            <w:tcW w:w="180" w:type="dxa"/>
            <w:vAlign w:val="bottom"/>
            <w:gridSpan w:val="2"/>
            <w:shd w:val="clear" w:color="auto" w:fill="EBECEC"/>
          </w:tcPr>
          <w:p>
            <w:pPr>
              <w:ind w:left="40"/>
              <w:spacing w:after="0" w:line="225" w:lineRule="exact"/>
              <w:rPr>
                <w:sz w:val="20"/>
                <w:szCs w:val="20"/>
                <w:color w:val="auto"/>
              </w:rPr>
            </w:pPr>
            <w:r>
              <w:rPr>
                <w:rFonts w:ascii="Arial" w:cs="Arial" w:eastAsia="Arial" w:hAnsi="Arial"/>
                <w:sz w:val="20"/>
                <w:szCs w:val="20"/>
                <w:color w:val="231F20"/>
              </w:rPr>
              <w:t>$</w:t>
            </w:r>
          </w:p>
        </w:tc>
        <w:tc>
          <w:tcPr>
            <w:tcW w:w="1080" w:type="dxa"/>
            <w:vAlign w:val="bottom"/>
            <w:shd w:val="clear" w:color="auto" w:fill="EBECEC"/>
          </w:tcPr>
          <w:p>
            <w:pPr>
              <w:jc w:val="right"/>
              <w:spacing w:after="0" w:line="225" w:lineRule="exact"/>
              <w:rPr>
                <w:sz w:val="20"/>
                <w:szCs w:val="20"/>
                <w:color w:val="auto"/>
              </w:rPr>
            </w:pPr>
            <w:r>
              <w:rPr>
                <w:rFonts w:ascii="Arial" w:cs="Arial" w:eastAsia="Arial" w:hAnsi="Arial"/>
                <w:sz w:val="20"/>
                <w:szCs w:val="20"/>
                <w:color w:val="231F20"/>
              </w:rPr>
              <w:t>170</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20"/>
                <w:szCs w:val="20"/>
                <w:color w:val="231F20"/>
              </w:rPr>
              <w:t>Exercisable as of December 31, 2025</w:t>
            </w: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20"/>
                <w:szCs w:val="20"/>
                <w:color w:val="231F20"/>
                <w:w w:val="89"/>
              </w:rPr>
              <w:t>$</w:t>
            </w:r>
          </w:p>
        </w:tc>
        <w:tc>
          <w:tcPr>
            <w:tcW w:w="1140" w:type="dxa"/>
            <w:vAlign w:val="bottom"/>
            <w:vMerge w:val="restart"/>
          </w:tcPr>
          <w:p>
            <w:pPr>
              <w:jc w:val="right"/>
              <w:ind w:right="26"/>
              <w:spacing w:after="0"/>
              <w:rPr>
                <w:sz w:val="20"/>
                <w:szCs w:val="20"/>
                <w:color w:val="auto"/>
              </w:rPr>
            </w:pPr>
            <w:r>
              <w:rPr>
                <w:rFonts w:ascii="Arial" w:cs="Arial" w:eastAsia="Arial" w:hAnsi="Arial"/>
                <w:sz w:val="20"/>
                <w:szCs w:val="20"/>
                <w:color w:val="231F20"/>
              </w:rPr>
              <w:t>7.93</w:t>
            </w:r>
          </w:p>
        </w:tc>
        <w:tc>
          <w:tcPr>
            <w:tcW w:w="120" w:type="dxa"/>
            <w:vAlign w:val="bottom"/>
          </w:tcPr>
          <w:p>
            <w:pPr>
              <w:spacing w:after="0" w:line="20" w:lineRule="exact"/>
              <w:rPr>
                <w:sz w:val="1"/>
                <w:szCs w:val="1"/>
                <w:color w:val="auto"/>
              </w:rPr>
            </w:pPr>
          </w:p>
        </w:tc>
        <w:tc>
          <w:tcPr>
            <w:tcW w:w="1260" w:type="dxa"/>
            <w:vAlign w:val="bottom"/>
            <w:gridSpan w:val="3"/>
            <w:vMerge w:val="restart"/>
          </w:tcPr>
          <w:p>
            <w:pPr>
              <w:jc w:val="right"/>
              <w:ind w:right="14"/>
              <w:spacing w:after="0"/>
              <w:rPr>
                <w:sz w:val="20"/>
                <w:szCs w:val="20"/>
                <w:color w:val="auto"/>
              </w:rPr>
            </w:pPr>
            <w:r>
              <w:rPr>
                <w:rFonts w:ascii="Arial" w:cs="Arial" w:eastAsia="Arial" w:hAnsi="Arial"/>
                <w:sz w:val="20"/>
                <w:szCs w:val="20"/>
                <w:color w:val="231F20"/>
              </w:rPr>
              <w:t>6.63</w:t>
            </w:r>
          </w:p>
        </w:tc>
        <w:tc>
          <w:tcPr>
            <w:tcW w:w="80" w:type="dxa"/>
            <w:vAlign w:val="bottom"/>
          </w:tcPr>
          <w:p>
            <w:pPr>
              <w:spacing w:after="0" w:line="20" w:lineRule="exact"/>
              <w:rPr>
                <w:sz w:val="1"/>
                <w:szCs w:val="1"/>
                <w:color w:val="auto"/>
              </w:rPr>
            </w:pPr>
          </w:p>
        </w:tc>
        <w:tc>
          <w:tcPr>
            <w:tcW w:w="180" w:type="dxa"/>
            <w:vAlign w:val="bottom"/>
            <w:gridSpan w:val="2"/>
            <w:vMerge w:val="restart"/>
          </w:tcPr>
          <w:p>
            <w:pPr>
              <w:ind w:left="40"/>
              <w:spacing w:after="0"/>
              <w:rPr>
                <w:sz w:val="20"/>
                <w:szCs w:val="20"/>
                <w:color w:val="auto"/>
              </w:rPr>
            </w:pPr>
            <w:r>
              <w:rPr>
                <w:rFonts w:ascii="Arial" w:cs="Arial" w:eastAsia="Arial" w:hAnsi="Arial"/>
                <w:sz w:val="20"/>
                <w:szCs w:val="20"/>
                <w:color w:val="231F20"/>
              </w:rPr>
              <w:t>$</w:t>
            </w:r>
          </w:p>
        </w:tc>
        <w:tc>
          <w:tcPr>
            <w:tcW w:w="1080" w:type="dxa"/>
            <w:vAlign w:val="bottom"/>
            <w:vMerge w:val="restart"/>
          </w:tcPr>
          <w:p>
            <w:pPr>
              <w:jc w:val="right"/>
              <w:spacing w:after="0"/>
              <w:rPr>
                <w:sz w:val="20"/>
                <w:szCs w:val="20"/>
                <w:color w:val="auto"/>
              </w:rPr>
            </w:pPr>
            <w:r>
              <w:rPr>
                <w:rFonts w:ascii="Arial" w:cs="Arial" w:eastAsia="Arial" w:hAnsi="Arial"/>
                <w:sz w:val="20"/>
                <w:szCs w:val="20"/>
                <w:color w:val="231F20"/>
              </w:rPr>
              <w:t>153</w:t>
            </w:r>
          </w:p>
        </w:tc>
        <w:tc>
          <w:tcPr>
            <w:tcW w:w="0" w:type="dxa"/>
            <w:vAlign w:val="bottom"/>
          </w:tcPr>
          <w:p>
            <w:pPr>
              <w:spacing w:after="0" w:line="20" w:lineRule="exact"/>
              <w:rPr>
                <w:sz w:val="1"/>
                <w:szCs w:val="1"/>
                <w:color w:val="auto"/>
              </w:rPr>
            </w:pPr>
          </w:p>
        </w:tc>
      </w:tr>
      <w:tr>
        <w:trPr>
          <w:trHeight w:val="215"/>
        </w:trPr>
        <w:tc>
          <w:tcPr>
            <w:tcW w:w="5460" w:type="dxa"/>
            <w:vAlign w:val="bottom"/>
            <w:gridSpan w:val="2"/>
            <w:vMerge w:val="continue"/>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ind w:right="5"/>
              <w:spacing w:after="0" w:line="215" w:lineRule="exact"/>
              <w:rPr>
                <w:sz w:val="20"/>
                <w:szCs w:val="20"/>
                <w:color w:val="auto"/>
              </w:rPr>
            </w:pPr>
            <w:r>
              <w:rPr>
                <w:rFonts w:ascii="Arial" w:cs="Arial" w:eastAsia="Arial" w:hAnsi="Arial"/>
                <w:sz w:val="20"/>
                <w:szCs w:val="20"/>
                <w:color w:val="231F20"/>
              </w:rPr>
              <w:t>3,753,523</w:t>
            </w:r>
          </w:p>
        </w:tc>
        <w:tc>
          <w:tcPr>
            <w:tcW w:w="12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6" w:right="540" w:bottom="6"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F-22</w:t>
      </w:r>
    </w:p>
    <w:p>
      <w:pPr>
        <w:sectPr>
          <w:pgSz w:w="11880" w:h="15480" w:orient="portrait"/>
          <w:cols w:equalWidth="0" w:num="1">
            <w:col w:w="10800"/>
          </w:cols>
          <w:pgMar w:left="540" w:top="756" w:right="540" w:bottom="6"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0" w:lineRule="exact"/>
        <w:rPr>
          <w:sz w:val="20"/>
          <w:szCs w:val="20"/>
          <w:color w:val="auto"/>
        </w:rPr>
      </w:pPr>
    </w:p>
    <w:p>
      <w:pPr>
        <w:ind w:right="260" w:firstLine="490"/>
        <w:spacing w:after="0" w:line="254" w:lineRule="auto"/>
        <w:rPr>
          <w:sz w:val="20"/>
          <w:szCs w:val="20"/>
          <w:color w:val="auto"/>
        </w:rPr>
      </w:pPr>
      <w:r>
        <w:rPr>
          <w:rFonts w:ascii="Arial" w:cs="Arial" w:eastAsia="Arial" w:hAnsi="Arial"/>
          <w:sz w:val="20"/>
          <w:szCs w:val="20"/>
          <w:color w:val="231F20"/>
        </w:rPr>
        <w:t>As of December 31, 2025, there was unrecognized stock-based compensation expense of $4.0 million related to unvested stock options which the Company expects to recognize over a weighted-average period of 1.8 years. Forfeited/expired options includes 77,379 prior forfeitures now expected to vest due to modifications related to the 2024 workforce reduction.</w:t>
      </w:r>
    </w:p>
    <w:p>
      <w:pPr>
        <w:spacing w:after="0" w:line="186"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231F20"/>
        </w:rPr>
        <w:t>Weighted-average grant-date fair value of the options granted during the year ended December 31, 2025 was $0.97 per share.</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RSU Activity</w:t>
      </w:r>
    </w:p>
    <w:p>
      <w:pPr>
        <w:spacing w:after="0" w:line="116" w:lineRule="exact"/>
        <w:rPr>
          <w:sz w:val="20"/>
          <w:szCs w:val="20"/>
          <w:color w:val="auto"/>
        </w:rPr>
      </w:pPr>
    </w:p>
    <w:p>
      <w:pPr>
        <w:ind w:right="200" w:firstLine="490"/>
        <w:spacing w:after="0" w:line="282" w:lineRule="auto"/>
        <w:rPr>
          <w:sz w:val="20"/>
          <w:szCs w:val="20"/>
          <w:color w:val="auto"/>
        </w:rPr>
      </w:pPr>
      <w:r>
        <w:rPr>
          <w:rFonts w:ascii="Arial" w:cs="Arial" w:eastAsia="Arial" w:hAnsi="Arial"/>
          <w:sz w:val="20"/>
          <w:szCs w:val="20"/>
          <w:color w:val="231F20"/>
        </w:rPr>
        <w:t>RSUs entitle the holder to receive shares of the Company’s common stock upon vesting. The fair value of RSUs is based upon the closing sales price of the Company’s common stock on the grant date.</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A summary of the RSU activity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jc w:val="right"/>
              <w:ind w:right="306"/>
              <w:spacing w:after="0"/>
              <w:rPr>
                <w:sz w:val="20"/>
                <w:szCs w:val="20"/>
                <w:color w:val="auto"/>
              </w:rPr>
            </w:pPr>
            <w:r>
              <w:rPr>
                <w:rFonts w:ascii="Arial" w:cs="Arial" w:eastAsia="Arial" w:hAnsi="Arial"/>
                <w:sz w:val="16"/>
                <w:szCs w:val="16"/>
                <w:b w:val="1"/>
                <w:bCs w:val="1"/>
                <w:color w:val="231F20"/>
              </w:rPr>
              <w:t>Weighted-Average</w:t>
            </w:r>
          </w:p>
        </w:tc>
      </w:tr>
      <w:tr>
        <w:trPr>
          <w:trHeight w:val="203"/>
        </w:trPr>
        <w:tc>
          <w:tcPr>
            <w:tcW w:w="6340" w:type="dxa"/>
            <w:vAlign w:val="bottom"/>
            <w:tcBorders>
              <w:bottom w:val="single" w:sz="8" w:color="EBECEC"/>
            </w:tcBorders>
          </w:tcPr>
          <w:p>
            <w:pPr>
              <w:spacing w:after="0"/>
              <w:rPr>
                <w:sz w:val="17"/>
                <w:szCs w:val="17"/>
                <w:color w:val="auto"/>
              </w:rPr>
            </w:pPr>
          </w:p>
        </w:tc>
        <w:tc>
          <w:tcPr>
            <w:tcW w:w="2120" w:type="dxa"/>
            <w:vAlign w:val="bottom"/>
            <w:tcBorders>
              <w:bottom w:val="single" w:sz="8" w:color="231F20"/>
            </w:tcBorders>
          </w:tcPr>
          <w:p>
            <w:pPr>
              <w:jc w:val="right"/>
              <w:ind w:right="403"/>
              <w:spacing w:after="0"/>
              <w:rPr>
                <w:sz w:val="20"/>
                <w:szCs w:val="20"/>
                <w:color w:val="auto"/>
              </w:rPr>
            </w:pPr>
            <w:r>
              <w:rPr>
                <w:rFonts w:ascii="Arial" w:cs="Arial" w:eastAsia="Arial" w:hAnsi="Arial"/>
                <w:sz w:val="16"/>
                <w:szCs w:val="16"/>
                <w:b w:val="1"/>
                <w:bCs w:val="1"/>
                <w:color w:val="231F20"/>
              </w:rPr>
              <w:t>Number of Units</w:t>
            </w:r>
          </w:p>
        </w:tc>
        <w:tc>
          <w:tcPr>
            <w:tcW w:w="240" w:type="dxa"/>
            <w:vAlign w:val="bottom"/>
            <w:tcBorders>
              <w:bottom w:val="single" w:sz="8" w:color="EBEC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960" w:type="dxa"/>
            <w:vAlign w:val="bottom"/>
            <w:tcBorders>
              <w:bottom w:val="single" w:sz="8" w:color="231F20"/>
            </w:tcBorders>
          </w:tcPr>
          <w:p>
            <w:pPr>
              <w:jc w:val="right"/>
              <w:ind w:right="186"/>
              <w:spacing w:after="0"/>
              <w:rPr>
                <w:sz w:val="20"/>
                <w:szCs w:val="20"/>
                <w:color w:val="auto"/>
              </w:rPr>
            </w:pPr>
            <w:r>
              <w:rPr>
                <w:rFonts w:ascii="Arial" w:cs="Arial" w:eastAsia="Arial" w:hAnsi="Arial"/>
                <w:sz w:val="16"/>
                <w:szCs w:val="16"/>
                <w:b w:val="1"/>
                <w:bCs w:val="1"/>
                <w:color w:val="231F20"/>
              </w:rPr>
              <w:t>Grant Date Fair Value</w:t>
            </w:r>
          </w:p>
        </w:tc>
      </w:tr>
      <w:tr>
        <w:trPr>
          <w:trHeight w:val="239"/>
        </w:trPr>
        <w:tc>
          <w:tcPr>
            <w:tcW w:w="6340" w:type="dxa"/>
            <w:vAlign w:val="bottom"/>
            <w:shd w:val="clear" w:color="auto" w:fill="EBECEC"/>
          </w:tcPr>
          <w:p>
            <w:pPr>
              <w:spacing w:after="0"/>
              <w:rPr>
                <w:sz w:val="20"/>
                <w:szCs w:val="20"/>
                <w:color w:val="auto"/>
              </w:rPr>
            </w:pPr>
            <w:r>
              <w:rPr>
                <w:rFonts w:ascii="Arial" w:cs="Arial" w:eastAsia="Arial" w:hAnsi="Arial"/>
                <w:sz w:val="20"/>
                <w:szCs w:val="20"/>
                <w:color w:val="231F20"/>
              </w:rPr>
              <w:t>Unvested at December 31, 2024</w:t>
            </w:r>
          </w:p>
        </w:tc>
        <w:tc>
          <w:tcPr>
            <w:tcW w:w="2120" w:type="dxa"/>
            <w:vAlign w:val="bottom"/>
            <w:shd w:val="clear" w:color="auto" w:fill="EBECEC"/>
          </w:tcPr>
          <w:p>
            <w:pPr>
              <w:jc w:val="right"/>
              <w:ind w:right="23"/>
              <w:spacing w:after="0"/>
              <w:rPr>
                <w:sz w:val="20"/>
                <w:szCs w:val="20"/>
                <w:color w:val="auto"/>
              </w:rPr>
            </w:pPr>
            <w:r>
              <w:rPr>
                <w:rFonts w:ascii="Arial" w:cs="Arial" w:eastAsia="Arial" w:hAnsi="Arial"/>
                <w:sz w:val="20"/>
                <w:szCs w:val="20"/>
                <w:color w:val="231F20"/>
              </w:rPr>
              <w:t>516,511</w:t>
            </w:r>
          </w:p>
        </w:tc>
        <w:tc>
          <w:tcPr>
            <w:tcW w:w="240" w:type="dxa"/>
            <w:vAlign w:val="bottom"/>
            <w:shd w:val="clear" w:color="auto" w:fill="EBECEC"/>
          </w:tcPr>
          <w:p>
            <w:pPr>
              <w:spacing w:after="0"/>
              <w:rPr>
                <w:sz w:val="20"/>
                <w:szCs w:val="20"/>
                <w:color w:val="auto"/>
              </w:rPr>
            </w:pPr>
          </w:p>
        </w:tc>
        <w:tc>
          <w:tcPr>
            <w:tcW w:w="140" w:type="dxa"/>
            <w:vAlign w:val="bottom"/>
            <w:shd w:val="clear" w:color="auto" w:fill="EBECEC"/>
          </w:tcPr>
          <w:p>
            <w:pPr>
              <w:jc w:val="right"/>
              <w:spacing w:after="0"/>
              <w:rPr>
                <w:sz w:val="20"/>
                <w:szCs w:val="20"/>
                <w:color w:val="auto"/>
              </w:rPr>
            </w:pPr>
            <w:r>
              <w:rPr>
                <w:rFonts w:ascii="Arial" w:cs="Arial" w:eastAsia="Arial" w:hAnsi="Arial"/>
                <w:sz w:val="20"/>
                <w:szCs w:val="20"/>
                <w:color w:val="231F20"/>
                <w:w w:val="71"/>
              </w:rPr>
              <w:t>$</w:t>
            </w:r>
          </w:p>
        </w:tc>
        <w:tc>
          <w:tcPr>
            <w:tcW w:w="1960" w:type="dxa"/>
            <w:vAlign w:val="bottom"/>
            <w:shd w:val="clear" w:color="auto" w:fill="EBECEC"/>
          </w:tcPr>
          <w:p>
            <w:pPr>
              <w:jc w:val="right"/>
              <w:ind w:right="6"/>
              <w:spacing w:after="0"/>
              <w:rPr>
                <w:sz w:val="20"/>
                <w:szCs w:val="20"/>
                <w:color w:val="auto"/>
              </w:rPr>
            </w:pPr>
            <w:r>
              <w:rPr>
                <w:rFonts w:ascii="Arial" w:cs="Arial" w:eastAsia="Arial" w:hAnsi="Arial"/>
                <w:sz w:val="20"/>
                <w:szCs w:val="20"/>
                <w:color w:val="231F20"/>
              </w:rPr>
              <w:t>2.54</w:t>
            </w:r>
          </w:p>
        </w:tc>
      </w:tr>
      <w:tr>
        <w:trPr>
          <w:trHeight w:val="244"/>
        </w:trPr>
        <w:tc>
          <w:tcPr>
            <w:tcW w:w="6340" w:type="dxa"/>
            <w:vAlign w:val="bottom"/>
          </w:tcPr>
          <w:p>
            <w:pPr>
              <w:ind w:left="280"/>
              <w:spacing w:after="0"/>
              <w:rPr>
                <w:sz w:val="20"/>
                <w:szCs w:val="20"/>
                <w:color w:val="auto"/>
              </w:rPr>
            </w:pPr>
            <w:r>
              <w:rPr>
                <w:rFonts w:ascii="Arial" w:cs="Arial" w:eastAsia="Arial" w:hAnsi="Arial"/>
                <w:sz w:val="20"/>
                <w:szCs w:val="20"/>
                <w:color w:val="231F20"/>
              </w:rPr>
              <w:t>Issued</w:t>
            </w:r>
          </w:p>
        </w:tc>
        <w:tc>
          <w:tcPr>
            <w:tcW w:w="2120" w:type="dxa"/>
            <w:vAlign w:val="bottom"/>
          </w:tcPr>
          <w:p>
            <w:pPr>
              <w:jc w:val="right"/>
              <w:ind w:right="23"/>
              <w:spacing w:after="0"/>
              <w:rPr>
                <w:sz w:val="20"/>
                <w:szCs w:val="20"/>
                <w:color w:val="auto"/>
              </w:rPr>
            </w:pPr>
            <w:r>
              <w:rPr>
                <w:rFonts w:ascii="Arial" w:cs="Arial" w:eastAsia="Arial" w:hAnsi="Arial"/>
                <w:sz w:val="20"/>
                <w:szCs w:val="20"/>
                <w:color w:val="231F20"/>
              </w:rPr>
              <w:t>588,371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right"/>
              <w:ind w:right="6"/>
              <w:spacing w:after="0"/>
              <w:rPr>
                <w:sz w:val="20"/>
                <w:szCs w:val="20"/>
                <w:color w:val="auto"/>
              </w:rPr>
            </w:pPr>
            <w:r>
              <w:rPr>
                <w:rFonts w:ascii="Arial" w:cs="Arial" w:eastAsia="Arial" w:hAnsi="Arial"/>
                <w:sz w:val="20"/>
                <w:szCs w:val="20"/>
                <w:color w:val="231F20"/>
              </w:rPr>
              <w:t>1.14</w:t>
            </w:r>
          </w:p>
        </w:tc>
      </w:tr>
      <w:tr>
        <w:trPr>
          <w:trHeight w:val="244"/>
        </w:trPr>
        <w:tc>
          <w:tcPr>
            <w:tcW w:w="634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Vested and released</w:t>
            </w:r>
          </w:p>
        </w:tc>
        <w:tc>
          <w:tcPr>
            <w:tcW w:w="212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(295,368)</w:t>
            </w:r>
          </w:p>
        </w:tc>
        <w:tc>
          <w:tcPr>
            <w:tcW w:w="24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1960" w:type="dxa"/>
            <w:vAlign w:val="bottom"/>
            <w:shd w:val="clear" w:color="auto" w:fill="EBECEC"/>
          </w:tcPr>
          <w:p>
            <w:pPr>
              <w:jc w:val="right"/>
              <w:ind w:right="6"/>
              <w:spacing w:after="0"/>
              <w:rPr>
                <w:sz w:val="20"/>
                <w:szCs w:val="20"/>
                <w:color w:val="auto"/>
              </w:rPr>
            </w:pPr>
            <w:r>
              <w:rPr>
                <w:rFonts w:ascii="Arial" w:cs="Arial" w:eastAsia="Arial" w:hAnsi="Arial"/>
                <w:sz w:val="20"/>
                <w:szCs w:val="20"/>
                <w:color w:val="231F20"/>
              </w:rPr>
              <w:t>2.12</w:t>
            </w:r>
          </w:p>
        </w:tc>
      </w:tr>
      <w:tr>
        <w:trPr>
          <w:trHeight w:val="244"/>
        </w:trPr>
        <w:tc>
          <w:tcPr>
            <w:tcW w:w="6340" w:type="dxa"/>
            <w:vAlign w:val="bottom"/>
            <w:tcBorders>
              <w:bottom w:val="single" w:sz="8" w:color="EBECEC"/>
            </w:tcBorders>
          </w:tcPr>
          <w:p>
            <w:pPr>
              <w:ind w:left="280"/>
              <w:spacing w:after="0"/>
              <w:rPr>
                <w:sz w:val="20"/>
                <w:szCs w:val="20"/>
                <w:color w:val="auto"/>
              </w:rPr>
            </w:pPr>
            <w:r>
              <w:rPr>
                <w:rFonts w:ascii="Arial" w:cs="Arial" w:eastAsia="Arial" w:hAnsi="Arial"/>
                <w:sz w:val="20"/>
                <w:szCs w:val="20"/>
                <w:color w:val="231F20"/>
              </w:rPr>
              <w:t>Forfeited</w:t>
            </w:r>
          </w:p>
        </w:tc>
        <w:tc>
          <w:tcPr>
            <w:tcW w:w="2120" w:type="dxa"/>
            <w:vAlign w:val="bottom"/>
            <w:tcBorders>
              <w:bottom w:val="single" w:sz="8" w:color="231F20"/>
            </w:tcBorders>
          </w:tcPr>
          <w:p>
            <w:pPr>
              <w:jc w:val="right"/>
              <w:ind w:right="23"/>
              <w:spacing w:after="0"/>
              <w:rPr>
                <w:sz w:val="20"/>
                <w:szCs w:val="20"/>
                <w:color w:val="auto"/>
              </w:rPr>
            </w:pPr>
            <w:r>
              <w:rPr>
                <w:rFonts w:ascii="Arial" w:cs="Arial" w:eastAsia="Arial" w:hAnsi="Arial"/>
                <w:sz w:val="20"/>
                <w:szCs w:val="20"/>
                <w:color w:val="231F20"/>
              </w:rPr>
              <w:t>46,646</w:t>
            </w:r>
          </w:p>
        </w:tc>
        <w:tc>
          <w:tcPr>
            <w:tcW w:w="240" w:type="dxa"/>
            <w:vAlign w:val="bottom"/>
            <w:tcBorders>
              <w:bottom w:val="single" w:sz="8" w:color="EBECEC"/>
            </w:tcBorders>
          </w:tcPr>
          <w:p>
            <w:pPr>
              <w:spacing w:after="0"/>
              <w:rPr>
                <w:sz w:val="21"/>
                <w:szCs w:val="21"/>
                <w:color w:val="auto"/>
              </w:rPr>
            </w:pPr>
          </w:p>
        </w:tc>
        <w:tc>
          <w:tcPr>
            <w:tcW w:w="140" w:type="dxa"/>
            <w:vAlign w:val="bottom"/>
            <w:tcBorders>
              <w:bottom w:val="single" w:sz="8" w:color="EBECEC"/>
            </w:tcBorders>
          </w:tcPr>
          <w:p>
            <w:pPr>
              <w:spacing w:after="0"/>
              <w:rPr>
                <w:sz w:val="21"/>
                <w:szCs w:val="21"/>
                <w:color w:val="auto"/>
              </w:rPr>
            </w:pPr>
          </w:p>
        </w:tc>
        <w:tc>
          <w:tcPr>
            <w:tcW w:w="1960" w:type="dxa"/>
            <w:vAlign w:val="bottom"/>
            <w:tcBorders>
              <w:bottom w:val="single" w:sz="8" w:color="EBECEC"/>
            </w:tcBorders>
          </w:tcPr>
          <w:p>
            <w:pPr>
              <w:jc w:val="right"/>
              <w:ind w:right="6"/>
              <w:spacing w:after="0"/>
              <w:rPr>
                <w:sz w:val="20"/>
                <w:szCs w:val="20"/>
                <w:color w:val="auto"/>
              </w:rPr>
            </w:pPr>
            <w:r>
              <w:rPr>
                <w:rFonts w:ascii="Arial" w:cs="Arial" w:eastAsia="Arial" w:hAnsi="Arial"/>
                <w:sz w:val="20"/>
                <w:szCs w:val="20"/>
                <w:color w:val="231F20"/>
              </w:rPr>
              <w:t>2.38</w:t>
            </w:r>
          </w:p>
        </w:tc>
      </w:tr>
      <w:tr>
        <w:trPr>
          <w:trHeight w:val="239"/>
        </w:trPr>
        <w:tc>
          <w:tcPr>
            <w:tcW w:w="6340" w:type="dxa"/>
            <w:vAlign w:val="bottom"/>
            <w:shd w:val="clear" w:color="auto" w:fill="EBECEC"/>
          </w:tcPr>
          <w:p>
            <w:pPr>
              <w:spacing w:after="0"/>
              <w:rPr>
                <w:sz w:val="20"/>
                <w:szCs w:val="20"/>
                <w:color w:val="auto"/>
              </w:rPr>
            </w:pPr>
            <w:r>
              <w:rPr>
                <w:rFonts w:ascii="Arial" w:cs="Arial" w:eastAsia="Arial" w:hAnsi="Arial"/>
                <w:sz w:val="20"/>
                <w:szCs w:val="20"/>
                <w:color w:val="231F20"/>
              </w:rPr>
              <w:t>Unvested at December 31, 2025</w:t>
            </w:r>
          </w:p>
        </w:tc>
        <w:tc>
          <w:tcPr>
            <w:tcW w:w="2120" w:type="dxa"/>
            <w:vAlign w:val="bottom"/>
            <w:tcBorders>
              <w:bottom w:val="single" w:sz="8" w:color="231F20"/>
            </w:tcBorders>
            <w:shd w:val="clear" w:color="auto" w:fill="EBECEC"/>
          </w:tcPr>
          <w:p>
            <w:pPr>
              <w:jc w:val="right"/>
              <w:ind w:right="23"/>
              <w:spacing w:after="0"/>
              <w:rPr>
                <w:sz w:val="20"/>
                <w:szCs w:val="20"/>
                <w:color w:val="auto"/>
              </w:rPr>
            </w:pPr>
            <w:r>
              <w:rPr>
                <w:rFonts w:ascii="Arial" w:cs="Arial" w:eastAsia="Arial" w:hAnsi="Arial"/>
                <w:sz w:val="20"/>
                <w:szCs w:val="20"/>
                <w:color w:val="231F20"/>
              </w:rPr>
              <w:t>856,160</w:t>
            </w:r>
          </w:p>
        </w:tc>
        <w:tc>
          <w:tcPr>
            <w:tcW w:w="380" w:type="dxa"/>
            <w:vAlign w:val="bottom"/>
            <w:gridSpan w:val="2"/>
            <w:shd w:val="clear" w:color="auto" w:fill="EBECEC"/>
          </w:tcPr>
          <w:p>
            <w:pPr>
              <w:jc w:val="right"/>
              <w:spacing w:after="0"/>
              <w:rPr>
                <w:sz w:val="20"/>
                <w:szCs w:val="20"/>
                <w:color w:val="auto"/>
              </w:rPr>
            </w:pPr>
            <w:r>
              <w:rPr>
                <w:rFonts w:ascii="Arial" w:cs="Arial" w:eastAsia="Arial" w:hAnsi="Arial"/>
                <w:sz w:val="20"/>
                <w:szCs w:val="20"/>
                <w:color w:val="231F20"/>
              </w:rPr>
              <w:t>$</w:t>
            </w:r>
          </w:p>
        </w:tc>
        <w:tc>
          <w:tcPr>
            <w:tcW w:w="1960" w:type="dxa"/>
            <w:vAlign w:val="bottom"/>
            <w:shd w:val="clear" w:color="auto" w:fill="EBECEC"/>
          </w:tcPr>
          <w:p>
            <w:pPr>
              <w:jc w:val="right"/>
              <w:ind w:right="6"/>
              <w:spacing w:after="0"/>
              <w:rPr>
                <w:sz w:val="20"/>
                <w:szCs w:val="20"/>
                <w:color w:val="auto"/>
              </w:rPr>
            </w:pPr>
            <w:r>
              <w:rPr>
                <w:rFonts w:ascii="Arial" w:cs="Arial" w:eastAsia="Arial" w:hAnsi="Arial"/>
                <w:sz w:val="20"/>
                <w:szCs w:val="20"/>
                <w:color w:val="231F20"/>
              </w:rPr>
              <w:t>1.72</w:t>
            </w:r>
          </w:p>
        </w:tc>
      </w:tr>
      <w:tr>
        <w:trPr>
          <w:trHeight w:val="20"/>
        </w:trPr>
        <w:tc>
          <w:tcPr>
            <w:tcW w:w="6340" w:type="dxa"/>
            <w:vAlign w:val="bottom"/>
          </w:tcPr>
          <w:p>
            <w:pPr>
              <w:spacing w:after="0" w:line="20" w:lineRule="exact"/>
              <w:rPr>
                <w:sz w:val="1"/>
                <w:szCs w:val="1"/>
                <w:color w:val="auto"/>
              </w:rPr>
            </w:pPr>
          </w:p>
        </w:tc>
        <w:tc>
          <w:tcPr>
            <w:tcW w:w="21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60" w:firstLine="490"/>
        <w:spacing w:after="0" w:line="254" w:lineRule="auto"/>
        <w:rPr>
          <w:sz w:val="20"/>
          <w:szCs w:val="20"/>
          <w:color w:val="auto"/>
        </w:rPr>
      </w:pPr>
      <w:r>
        <w:rPr>
          <w:rFonts w:ascii="Arial" w:cs="Arial" w:eastAsia="Arial" w:hAnsi="Arial"/>
          <w:sz w:val="20"/>
          <w:szCs w:val="20"/>
          <w:color w:val="231F20"/>
        </w:rPr>
        <w:t>As of December 31, 2025, there was unrecognized stock-based compensation expense of $0.9 million related to unvested restricted stock units which the Company expects to recognize over a weighted-average period of 2.3 years. Forfeited RSUs includes 51,840 prior forfeitures now expected to vest due to modifications related to the 2024 workforce reduction.</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2022 Employee Stock Purchase Plan</w:t>
      </w:r>
    </w:p>
    <w:p>
      <w:pPr>
        <w:spacing w:after="0" w:line="116"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231F20"/>
        </w:rPr>
        <w:t>The Company’s 2022 Employee Stock Purchase Plan (“ESPP”) has two components: a component that is intended to qualify as an “employee stock purchase plan” under Section 423 of the Code (the “423 Component”) and a component that is not intended to qualify (the “Non-423 Component”). The ESPP allows eligible employees to purchase shares of the Company’s common stock at a discount through payroll deductions of up to 15% of their eligible compensation. At the end of each offering period, employees are able to purchase shares at 85% of the lower of the fair market value of the Company’s common stock at the beginning of the offering period or at the end of each applicable purchase period.</w:t>
      </w:r>
    </w:p>
    <w:p>
      <w:pPr>
        <w:spacing w:after="0" w:line="194"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231F20"/>
        </w:rPr>
        <w:t>Subject to adjustment in the case of certain capitalization events, 187,000 shares of the Company’s common stock were available for purchase at the adoption of the ESPP. Pursuant to the ESPP, the annual share increase pursuant to the evergreen provision is determined based on the least of (i) 1% of the Company’s common stock outstanding as of December 31 of the immediately preceding year, (ii) 561,000 shares, or (iii) such number of shares as determined by the Board. Accordingly, effective January 1, 2025, the number of shares in the ESPP increased by 299,196 shares, representing 1% of the prior year-end’s common stock outstanding</w:t>
      </w:r>
      <w:r>
        <w:rPr>
          <w:rFonts w:ascii="Times New Roman" w:cs="Times New Roman" w:eastAsia="Times New Roman" w:hAnsi="Times New Roman"/>
          <w:sz w:val="20"/>
          <w:szCs w:val="20"/>
          <w:color w:val="231F20"/>
        </w:rPr>
        <w:t>.</w:t>
      </w:r>
      <w:r>
        <w:rPr>
          <w:rFonts w:ascii="Arial" w:cs="Arial" w:eastAsia="Arial" w:hAnsi="Arial"/>
          <w:sz w:val="20"/>
          <w:szCs w:val="20"/>
          <w:color w:val="231F20"/>
        </w:rPr>
        <w:t xml:space="preserve"> As of December 31, 2025, 775,882 shares of common stock remained available for issuance under the ESPP.</w:t>
      </w:r>
    </w:p>
    <w:p>
      <w:pPr>
        <w:spacing w:after="0" w:line="193"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231F20"/>
        </w:rPr>
        <w:t>During the years ended December 31, 2025 and 2024, the Company recognized zero and $0.1 million, respectively, in stock-based compensation expense related to the ESPP.</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10. Income Taxes</w:t>
      </w:r>
    </w:p>
    <w:p>
      <w:pPr>
        <w:spacing w:after="0" w:line="124" w:lineRule="exact"/>
        <w:rPr>
          <w:sz w:val="20"/>
          <w:szCs w:val="20"/>
          <w:color w:val="auto"/>
        </w:rPr>
      </w:pPr>
    </w:p>
    <w:p>
      <w:pPr>
        <w:ind w:right="200" w:firstLine="490"/>
        <w:spacing w:after="0" w:line="261" w:lineRule="auto"/>
        <w:rPr>
          <w:sz w:val="20"/>
          <w:szCs w:val="20"/>
          <w:color w:val="auto"/>
        </w:rPr>
      </w:pPr>
      <w:r>
        <w:rPr>
          <w:rFonts w:ascii="Arial" w:cs="Arial" w:eastAsia="Arial" w:hAnsi="Arial"/>
          <w:sz w:val="20"/>
          <w:szCs w:val="20"/>
          <w:color w:val="231F20"/>
        </w:rPr>
        <w:t>The Company is liable for income taxes in the U.S. For the years ended December 31, 2025 and 2024, the Company did not have any income for income tax purposes and therefore, no tax liability or expense has been recorded in these financial statements.</w:t>
      </w:r>
    </w:p>
    <w:p>
      <w:pPr>
        <w:sectPr>
          <w:pgSz w:w="11880" w:h="15480" w:orient="portrait"/>
          <w:cols w:equalWidth="0" w:num="1">
            <w:col w:w="10800"/>
          </w:cols>
          <w:pgMar w:left="540" w:top="75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F-23</w:t>
      </w:r>
    </w:p>
    <w:p>
      <w:pPr>
        <w:sectPr>
          <w:pgSz w:w="11880" w:h="15480" w:orient="portrait"/>
          <w:cols w:equalWidth="0" w:num="1">
            <w:col w:w="10800"/>
          </w:cols>
          <w:pgMar w:left="540" w:top="756" w:right="540" w:bottom="6"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0" w:lineRule="exact"/>
        <w:rPr>
          <w:sz w:val="20"/>
          <w:szCs w:val="20"/>
          <w:color w:val="auto"/>
        </w:rPr>
      </w:pPr>
    </w:p>
    <w:p>
      <w:pPr>
        <w:ind w:left="480"/>
        <w:spacing w:after="0"/>
        <w:rPr>
          <w:sz w:val="20"/>
          <w:szCs w:val="20"/>
          <w:color w:val="auto"/>
        </w:rPr>
      </w:pPr>
      <w:r>
        <w:rPr>
          <w:rFonts w:ascii="Arial" w:cs="Arial" w:eastAsia="Arial" w:hAnsi="Arial"/>
          <w:sz w:val="20"/>
          <w:szCs w:val="20"/>
          <w:color w:val="231F20"/>
        </w:rPr>
        <w:t>The reconciliation of the effective income tax rate to the U.S. statutory rate is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231F20"/>
            </w:tcBorders>
          </w:tcPr>
          <w:p>
            <w:pPr>
              <w:spacing w:after="0"/>
              <w:rPr>
                <w:sz w:val="17"/>
                <w:szCs w:val="17"/>
                <w:color w:val="auto"/>
              </w:rPr>
            </w:pPr>
          </w:p>
        </w:tc>
        <w:tc>
          <w:tcPr>
            <w:tcW w:w="1880" w:type="dxa"/>
            <w:vAlign w:val="bottom"/>
            <w:tcBorders>
              <w:bottom w:val="single" w:sz="8" w:color="231F20"/>
            </w:tcBorders>
            <w:gridSpan w:val="3"/>
          </w:tcPr>
          <w:p>
            <w:pPr>
              <w:jc w:val="center"/>
              <w:ind w:left="104"/>
              <w:spacing w:after="0"/>
              <w:rPr>
                <w:sz w:val="20"/>
                <w:szCs w:val="20"/>
                <w:color w:val="auto"/>
              </w:rPr>
            </w:pPr>
            <w:r>
              <w:rPr>
                <w:rFonts w:ascii="Arial" w:cs="Arial" w:eastAsia="Arial" w:hAnsi="Arial"/>
                <w:sz w:val="16"/>
                <w:szCs w:val="16"/>
                <w:b w:val="1"/>
                <w:bCs w:val="1"/>
                <w:color w:val="231F20"/>
                <w:w w:val="99"/>
              </w:rPr>
              <w:t>December 31,</w:t>
            </w:r>
          </w:p>
        </w:tc>
        <w:tc>
          <w:tcPr>
            <w:tcW w:w="1080" w:type="dxa"/>
            <w:vAlign w:val="bottom"/>
            <w:tcBorders>
              <w:bottom w:val="single" w:sz="8" w:color="231F20"/>
            </w:tcBorders>
          </w:tcPr>
          <w:p>
            <w:pPr>
              <w:spacing w:after="0"/>
              <w:rPr>
                <w:sz w:val="17"/>
                <w:szCs w:val="17"/>
                <w:color w:val="auto"/>
              </w:rPr>
            </w:pPr>
          </w:p>
        </w:tc>
      </w:tr>
      <w:tr>
        <w:trPr>
          <w:trHeight w:val="193"/>
        </w:trPr>
        <w:tc>
          <w:tcPr>
            <w:tcW w:w="6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231F20"/>
              </w:rPr>
              <w:t>2025</w:t>
            </w: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4"/>
        </w:trPr>
        <w:tc>
          <w:tcPr>
            <w:tcW w:w="6100" w:type="dxa"/>
            <w:vAlign w:val="bottom"/>
            <w:shd w:val="clear" w:color="auto" w:fill="EBECEC"/>
          </w:tcPr>
          <w:p>
            <w:pPr>
              <w:spacing w:after="0"/>
              <w:rPr>
                <w:sz w:val="20"/>
                <w:szCs w:val="20"/>
                <w:color w:val="auto"/>
              </w:rPr>
            </w:pPr>
            <w:r>
              <w:rPr>
                <w:rFonts w:ascii="Arial" w:cs="Arial" w:eastAsia="Arial" w:hAnsi="Arial"/>
                <w:sz w:val="20"/>
                <w:szCs w:val="20"/>
                <w:color w:val="231F20"/>
              </w:rPr>
              <w:t>Federal tax benefit at statutory rate</w:t>
            </w:r>
          </w:p>
        </w:tc>
        <w:tc>
          <w:tcPr>
            <w:tcW w:w="1740" w:type="dxa"/>
            <w:vAlign w:val="bottom"/>
            <w:gridSpan w:val="3"/>
            <w:shd w:val="clear" w:color="auto" w:fill="EBECEC"/>
          </w:tcPr>
          <w:p>
            <w:pPr>
              <w:jc w:val="right"/>
              <w:ind w:right="320"/>
              <w:spacing w:after="0"/>
              <w:rPr>
                <w:sz w:val="20"/>
                <w:szCs w:val="20"/>
                <w:color w:val="auto"/>
              </w:rPr>
            </w:pPr>
            <w:r>
              <w:rPr>
                <w:rFonts w:ascii="Arial" w:cs="Arial" w:eastAsia="Arial" w:hAnsi="Arial"/>
                <w:sz w:val="20"/>
                <w:szCs w:val="20"/>
                <w:color w:val="231F20"/>
              </w:rPr>
              <w:t>$</w:t>
            </w:r>
          </w:p>
        </w:tc>
        <w:tc>
          <w:tcPr>
            <w:tcW w:w="11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(7,387)</w:t>
            </w:r>
          </w:p>
        </w:tc>
        <w:tc>
          <w:tcPr>
            <w:tcW w:w="180" w:type="dxa"/>
            <w:vAlign w:val="bottom"/>
            <w:shd w:val="clear" w:color="auto" w:fill="EBECEC"/>
          </w:tcPr>
          <w:p>
            <w:pPr>
              <w:spacing w:after="0"/>
              <w:rPr>
                <w:sz w:val="21"/>
                <w:szCs w:val="21"/>
                <w:color w:val="auto"/>
              </w:rPr>
            </w:pPr>
          </w:p>
        </w:tc>
        <w:tc>
          <w:tcPr>
            <w:tcW w:w="600" w:type="dxa"/>
            <w:vAlign w:val="bottom"/>
            <w:shd w:val="clear" w:color="auto" w:fill="EBECEC"/>
          </w:tcPr>
          <w:p>
            <w:pPr>
              <w:spacing w:after="0"/>
              <w:rPr>
                <w:sz w:val="21"/>
                <w:szCs w:val="21"/>
                <w:color w:val="auto"/>
              </w:rPr>
            </w:pPr>
          </w:p>
        </w:tc>
        <w:tc>
          <w:tcPr>
            <w:tcW w:w="1080" w:type="dxa"/>
            <w:vAlign w:val="bottom"/>
            <w:shd w:val="clear" w:color="auto" w:fill="EBECEC"/>
          </w:tcPr>
          <w:p>
            <w:pPr>
              <w:jc w:val="right"/>
              <w:ind w:right="40"/>
              <w:spacing w:after="0"/>
              <w:rPr>
                <w:sz w:val="20"/>
                <w:szCs w:val="20"/>
                <w:color w:val="auto"/>
              </w:rPr>
            </w:pPr>
            <w:r>
              <w:rPr>
                <w:rFonts w:ascii="Arial" w:cs="Arial" w:eastAsia="Arial" w:hAnsi="Arial"/>
                <w:sz w:val="20"/>
                <w:szCs w:val="20"/>
                <w:color w:val="231F20"/>
              </w:rPr>
              <w:t>21.0%</w:t>
            </w:r>
          </w:p>
        </w:tc>
      </w:tr>
      <w:tr>
        <w:trPr>
          <w:trHeight w:val="244"/>
        </w:trPr>
        <w:tc>
          <w:tcPr>
            <w:tcW w:w="6100" w:type="dxa"/>
            <w:vAlign w:val="bottom"/>
          </w:tcPr>
          <w:p>
            <w:pPr>
              <w:spacing w:after="0" w:line="243" w:lineRule="exact"/>
              <w:rPr>
                <w:sz w:val="20"/>
                <w:szCs w:val="20"/>
                <w:color w:val="auto"/>
              </w:rPr>
            </w:pPr>
            <w:r>
              <w:rPr>
                <w:rFonts w:ascii="Arial" w:cs="Arial" w:eastAsia="Arial" w:hAnsi="Arial"/>
                <w:sz w:val="20"/>
                <w:szCs w:val="20"/>
                <w:color w:val="231F20"/>
              </w:rPr>
              <w:t xml:space="preserve">State and local income taxes, net of federal tax effect </w:t>
            </w:r>
            <w:r>
              <w:rPr>
                <w:rFonts w:ascii="Arial" w:cs="Arial" w:eastAsia="Arial" w:hAnsi="Arial"/>
                <w:sz w:val="26"/>
                <w:szCs w:val="26"/>
                <w:color w:val="231F20"/>
                <w:vertAlign w:val="superscript"/>
              </w:rPr>
              <w:t>(a)</w:t>
            </w: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231F20"/>
              </w:rPr>
              <w:t>(6,478)</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20"/>
                <w:szCs w:val="20"/>
                <w:color w:val="231F20"/>
              </w:rPr>
              <w:t>18.4%</w:t>
            </w:r>
          </w:p>
        </w:tc>
      </w:tr>
      <w:tr>
        <w:trPr>
          <w:trHeight w:val="244"/>
        </w:trPr>
        <w:tc>
          <w:tcPr>
            <w:tcW w:w="6100" w:type="dxa"/>
            <w:vAlign w:val="bottom"/>
            <w:shd w:val="clear" w:color="auto" w:fill="EBECEC"/>
          </w:tcPr>
          <w:p>
            <w:pPr>
              <w:spacing w:after="0"/>
              <w:rPr>
                <w:sz w:val="20"/>
                <w:szCs w:val="20"/>
                <w:color w:val="auto"/>
              </w:rPr>
            </w:pPr>
            <w:r>
              <w:rPr>
                <w:rFonts w:ascii="Arial" w:cs="Arial" w:eastAsia="Arial" w:hAnsi="Arial"/>
                <w:sz w:val="20"/>
                <w:szCs w:val="20"/>
                <w:color w:val="231F20"/>
              </w:rPr>
              <w:t>Changes in valuation allowance</w:t>
            </w:r>
          </w:p>
        </w:tc>
        <w:tc>
          <w:tcPr>
            <w:tcW w:w="120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520" w:type="dxa"/>
            <w:vAlign w:val="bottom"/>
            <w:shd w:val="clear" w:color="auto" w:fill="EBECEC"/>
          </w:tcPr>
          <w:p>
            <w:pPr>
              <w:spacing w:after="0"/>
              <w:rPr>
                <w:sz w:val="21"/>
                <w:szCs w:val="21"/>
                <w:color w:val="auto"/>
              </w:rPr>
            </w:pPr>
          </w:p>
        </w:tc>
        <w:tc>
          <w:tcPr>
            <w:tcW w:w="1100" w:type="dxa"/>
            <w:vAlign w:val="bottom"/>
            <w:shd w:val="clear" w:color="auto" w:fill="EBECEC"/>
          </w:tcPr>
          <w:p>
            <w:pPr>
              <w:jc w:val="right"/>
              <w:ind w:right="24"/>
              <w:spacing w:after="0"/>
              <w:rPr>
                <w:sz w:val="20"/>
                <w:szCs w:val="20"/>
                <w:color w:val="auto"/>
              </w:rPr>
            </w:pPr>
            <w:r>
              <w:rPr>
                <w:rFonts w:ascii="Arial" w:cs="Arial" w:eastAsia="Arial" w:hAnsi="Arial"/>
                <w:sz w:val="20"/>
                <w:szCs w:val="20"/>
                <w:color w:val="231F20"/>
              </w:rPr>
              <w:t>7,960</w:t>
            </w:r>
          </w:p>
        </w:tc>
        <w:tc>
          <w:tcPr>
            <w:tcW w:w="180" w:type="dxa"/>
            <w:vAlign w:val="bottom"/>
            <w:shd w:val="clear" w:color="auto" w:fill="EBECEC"/>
          </w:tcPr>
          <w:p>
            <w:pPr>
              <w:spacing w:after="0"/>
              <w:rPr>
                <w:sz w:val="21"/>
                <w:szCs w:val="21"/>
                <w:color w:val="auto"/>
              </w:rPr>
            </w:pPr>
          </w:p>
        </w:tc>
        <w:tc>
          <w:tcPr>
            <w:tcW w:w="600" w:type="dxa"/>
            <w:vAlign w:val="bottom"/>
            <w:shd w:val="clear" w:color="auto" w:fill="EBECEC"/>
          </w:tcPr>
          <w:p>
            <w:pPr>
              <w:spacing w:after="0"/>
              <w:rPr>
                <w:sz w:val="21"/>
                <w:szCs w:val="21"/>
                <w:color w:val="auto"/>
              </w:rPr>
            </w:pPr>
          </w:p>
        </w:tc>
        <w:tc>
          <w:tcPr>
            <w:tcW w:w="10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(22.6%)</w:t>
            </w:r>
          </w:p>
        </w:tc>
      </w:tr>
      <w:tr>
        <w:trPr>
          <w:trHeight w:val="244"/>
        </w:trPr>
        <w:tc>
          <w:tcPr>
            <w:tcW w:w="6100" w:type="dxa"/>
            <w:vAlign w:val="bottom"/>
          </w:tcPr>
          <w:p>
            <w:pPr>
              <w:spacing w:after="0"/>
              <w:rPr>
                <w:sz w:val="20"/>
                <w:szCs w:val="20"/>
                <w:color w:val="auto"/>
              </w:rPr>
            </w:pPr>
            <w:r>
              <w:rPr>
                <w:rFonts w:ascii="Arial" w:cs="Arial" w:eastAsia="Arial" w:hAnsi="Arial"/>
                <w:sz w:val="20"/>
                <w:szCs w:val="20"/>
                <w:color w:val="231F20"/>
              </w:rPr>
              <w:t>Tax Credits</w:t>
            </w: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4"/>
        </w:trPr>
        <w:tc>
          <w:tcPr>
            <w:tcW w:w="610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Research and development tax credits</w:t>
            </w:r>
          </w:p>
        </w:tc>
        <w:tc>
          <w:tcPr>
            <w:tcW w:w="120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52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(718)</w:t>
            </w:r>
          </w:p>
        </w:tc>
        <w:tc>
          <w:tcPr>
            <w:tcW w:w="180" w:type="dxa"/>
            <w:vAlign w:val="bottom"/>
            <w:shd w:val="clear" w:color="auto" w:fill="EBECEC"/>
          </w:tcPr>
          <w:p>
            <w:pPr>
              <w:spacing w:after="0"/>
              <w:rPr>
                <w:sz w:val="21"/>
                <w:szCs w:val="21"/>
                <w:color w:val="auto"/>
              </w:rPr>
            </w:pPr>
          </w:p>
        </w:tc>
        <w:tc>
          <w:tcPr>
            <w:tcW w:w="600" w:type="dxa"/>
            <w:vAlign w:val="bottom"/>
            <w:shd w:val="clear" w:color="auto" w:fill="EBECEC"/>
          </w:tcPr>
          <w:p>
            <w:pPr>
              <w:spacing w:after="0"/>
              <w:rPr>
                <w:sz w:val="21"/>
                <w:szCs w:val="21"/>
                <w:color w:val="auto"/>
              </w:rPr>
            </w:pPr>
          </w:p>
        </w:tc>
        <w:tc>
          <w:tcPr>
            <w:tcW w:w="1080" w:type="dxa"/>
            <w:vAlign w:val="bottom"/>
            <w:shd w:val="clear" w:color="auto" w:fill="EBECEC"/>
          </w:tcPr>
          <w:p>
            <w:pPr>
              <w:jc w:val="right"/>
              <w:ind w:right="40"/>
              <w:spacing w:after="0"/>
              <w:rPr>
                <w:sz w:val="20"/>
                <w:szCs w:val="20"/>
                <w:color w:val="auto"/>
              </w:rPr>
            </w:pPr>
            <w:r>
              <w:rPr>
                <w:rFonts w:ascii="Arial" w:cs="Arial" w:eastAsia="Arial" w:hAnsi="Arial"/>
                <w:sz w:val="20"/>
                <w:szCs w:val="20"/>
                <w:color w:val="231F20"/>
              </w:rPr>
              <w:t>2.0%</w:t>
            </w:r>
          </w:p>
        </w:tc>
      </w:tr>
      <w:tr>
        <w:trPr>
          <w:trHeight w:val="244"/>
        </w:trPr>
        <w:tc>
          <w:tcPr>
            <w:tcW w:w="6100" w:type="dxa"/>
            <w:vAlign w:val="bottom"/>
          </w:tcPr>
          <w:p>
            <w:pPr>
              <w:spacing w:after="0"/>
              <w:rPr>
                <w:sz w:val="20"/>
                <w:szCs w:val="20"/>
                <w:color w:val="auto"/>
              </w:rPr>
            </w:pPr>
            <w:r>
              <w:rPr>
                <w:rFonts w:ascii="Arial" w:cs="Arial" w:eastAsia="Arial" w:hAnsi="Arial"/>
                <w:sz w:val="20"/>
                <w:szCs w:val="20"/>
                <w:color w:val="231F20"/>
              </w:rPr>
              <w:t>Nontaxable or nondeductible items</w:t>
            </w: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24"/>
              <w:spacing w:after="0"/>
              <w:rPr>
                <w:sz w:val="20"/>
                <w:szCs w:val="20"/>
                <w:color w:val="auto"/>
              </w:rPr>
            </w:pPr>
            <w:r>
              <w:rPr>
                <w:rFonts w:ascii="Arial" w:cs="Arial" w:eastAsia="Arial" w:hAnsi="Arial"/>
                <w:sz w:val="20"/>
                <w:szCs w:val="20"/>
                <w:color w:val="231F20"/>
              </w:rPr>
              <w:t>84</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231F20"/>
              </w:rPr>
              <w:t>(0.2%)</w:t>
            </w:r>
          </w:p>
        </w:tc>
      </w:tr>
      <w:tr>
        <w:trPr>
          <w:trHeight w:val="264"/>
        </w:trPr>
        <w:tc>
          <w:tcPr>
            <w:tcW w:w="6100" w:type="dxa"/>
            <w:vAlign w:val="bottom"/>
            <w:tcBorders>
              <w:bottom w:val="single" w:sz="8" w:color="EBECEC"/>
            </w:tcBorders>
            <w:shd w:val="clear" w:color="auto" w:fill="EBECEC"/>
          </w:tcPr>
          <w:p>
            <w:pPr>
              <w:spacing w:after="0"/>
              <w:rPr>
                <w:sz w:val="20"/>
                <w:szCs w:val="20"/>
                <w:color w:val="auto"/>
              </w:rPr>
            </w:pPr>
            <w:r>
              <w:rPr>
                <w:rFonts w:ascii="Arial" w:cs="Arial" w:eastAsia="Arial" w:hAnsi="Arial"/>
                <w:sz w:val="20"/>
                <w:szCs w:val="20"/>
                <w:color w:val="231F20"/>
              </w:rPr>
              <w:t>Changes in unrecognized tax benefit</w:t>
            </w:r>
          </w:p>
        </w:tc>
        <w:tc>
          <w:tcPr>
            <w:tcW w:w="1200" w:type="dxa"/>
            <w:vAlign w:val="bottom"/>
            <w:tcBorders>
              <w:bottom w:val="single" w:sz="8" w:color="EBECEC"/>
            </w:tcBorders>
            <w:shd w:val="clear" w:color="auto" w:fill="EBECEC"/>
          </w:tcPr>
          <w:p>
            <w:pPr>
              <w:spacing w:after="0"/>
              <w:rPr>
                <w:sz w:val="22"/>
                <w:szCs w:val="22"/>
                <w:color w:val="auto"/>
              </w:rPr>
            </w:pPr>
          </w:p>
        </w:tc>
        <w:tc>
          <w:tcPr>
            <w:tcW w:w="20" w:type="dxa"/>
            <w:vAlign w:val="bottom"/>
            <w:tcBorders>
              <w:bottom w:val="single" w:sz="8" w:color="EBECEC"/>
            </w:tcBorders>
            <w:shd w:val="clear" w:color="auto" w:fill="EBECEC"/>
          </w:tcPr>
          <w:p>
            <w:pPr>
              <w:spacing w:after="0"/>
              <w:rPr>
                <w:sz w:val="22"/>
                <w:szCs w:val="22"/>
                <w:color w:val="auto"/>
              </w:rPr>
            </w:pPr>
          </w:p>
        </w:tc>
        <w:tc>
          <w:tcPr>
            <w:tcW w:w="520" w:type="dxa"/>
            <w:vAlign w:val="bottom"/>
            <w:tcBorders>
              <w:bottom w:val="single" w:sz="8" w:color="EBECEC"/>
            </w:tcBorders>
            <w:shd w:val="clear" w:color="auto" w:fill="EBECEC"/>
          </w:tcPr>
          <w:p>
            <w:pPr>
              <w:spacing w:after="0"/>
              <w:rPr>
                <w:sz w:val="22"/>
                <w:szCs w:val="22"/>
                <w:color w:val="auto"/>
              </w:rPr>
            </w:pPr>
          </w:p>
        </w:tc>
        <w:tc>
          <w:tcPr>
            <w:tcW w:w="1100" w:type="dxa"/>
            <w:vAlign w:val="bottom"/>
            <w:tcBorders>
              <w:bottom w:val="single" w:sz="8" w:color="EBECEC"/>
            </w:tcBorders>
            <w:shd w:val="clear" w:color="auto" w:fill="EBECEC"/>
          </w:tcPr>
          <w:p>
            <w:pPr>
              <w:jc w:val="right"/>
              <w:ind w:right="24"/>
              <w:spacing w:after="0"/>
              <w:rPr>
                <w:sz w:val="20"/>
                <w:szCs w:val="20"/>
                <w:color w:val="auto"/>
              </w:rPr>
            </w:pPr>
            <w:r>
              <w:rPr>
                <w:rFonts w:ascii="Arial" w:cs="Arial" w:eastAsia="Arial" w:hAnsi="Arial"/>
                <w:sz w:val="20"/>
                <w:szCs w:val="20"/>
                <w:color w:val="231F20"/>
              </w:rPr>
              <w:t>6,539</w:t>
            </w:r>
          </w:p>
        </w:tc>
        <w:tc>
          <w:tcPr>
            <w:tcW w:w="180" w:type="dxa"/>
            <w:vAlign w:val="bottom"/>
            <w:tcBorders>
              <w:bottom w:val="single" w:sz="8" w:color="EBECEC"/>
            </w:tcBorders>
            <w:shd w:val="clear" w:color="auto" w:fill="EBECEC"/>
          </w:tcPr>
          <w:p>
            <w:pPr>
              <w:spacing w:after="0"/>
              <w:rPr>
                <w:sz w:val="22"/>
                <w:szCs w:val="22"/>
                <w:color w:val="auto"/>
              </w:rPr>
            </w:pPr>
          </w:p>
        </w:tc>
        <w:tc>
          <w:tcPr>
            <w:tcW w:w="600" w:type="dxa"/>
            <w:vAlign w:val="bottom"/>
            <w:tcBorders>
              <w:bottom w:val="single" w:sz="8" w:color="231F20"/>
            </w:tcBorders>
            <w:shd w:val="clear" w:color="auto" w:fill="EBECEC"/>
          </w:tcPr>
          <w:p>
            <w:pPr>
              <w:spacing w:after="0"/>
              <w:rPr>
                <w:sz w:val="22"/>
                <w:szCs w:val="22"/>
                <w:color w:val="auto"/>
              </w:rPr>
            </w:pPr>
          </w:p>
        </w:tc>
        <w:tc>
          <w:tcPr>
            <w:tcW w:w="108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(18.6%)</w:t>
            </w:r>
          </w:p>
        </w:tc>
      </w:tr>
      <w:tr>
        <w:trPr>
          <w:trHeight w:val="219"/>
        </w:trPr>
        <w:tc>
          <w:tcPr>
            <w:tcW w:w="6100" w:type="dxa"/>
            <w:vAlign w:val="bottom"/>
          </w:tcPr>
          <w:p>
            <w:pPr>
              <w:spacing w:after="0" w:line="219" w:lineRule="exact"/>
              <w:rPr>
                <w:sz w:val="20"/>
                <w:szCs w:val="20"/>
                <w:color w:val="auto"/>
              </w:rPr>
            </w:pPr>
            <w:r>
              <w:rPr>
                <w:rFonts w:ascii="Arial" w:cs="Arial" w:eastAsia="Arial" w:hAnsi="Arial"/>
                <w:sz w:val="20"/>
                <w:szCs w:val="20"/>
                <w:color w:val="231F20"/>
              </w:rPr>
              <w:t>Effective Tax Rate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231F20"/>
              <w:bottom w:val="single" w:sz="8" w:color="231F20"/>
            </w:tcBorders>
          </w:tcPr>
          <w:p>
            <w:pPr>
              <w:jc w:val="right"/>
              <w:ind w:right="320"/>
              <w:spacing w:after="0" w:line="219" w:lineRule="exact"/>
              <w:rPr>
                <w:sz w:val="20"/>
                <w:szCs w:val="20"/>
                <w:color w:val="auto"/>
              </w:rPr>
            </w:pPr>
            <w:r>
              <w:rPr>
                <w:rFonts w:ascii="Arial" w:cs="Arial" w:eastAsia="Arial" w:hAnsi="Arial"/>
                <w:sz w:val="20"/>
                <w:szCs w:val="20"/>
                <w:color w:val="231F20"/>
                <w:w w:val="71"/>
              </w:rPr>
              <w:t>$</w:t>
            </w:r>
          </w:p>
        </w:tc>
        <w:tc>
          <w:tcPr>
            <w:tcW w:w="1100" w:type="dxa"/>
            <w:vAlign w:val="bottom"/>
            <w:tcBorders>
              <w:top w:val="single" w:sz="8" w:color="231F20"/>
              <w:bottom w:val="single" w:sz="8" w:color="231F20"/>
            </w:tcBorders>
          </w:tcPr>
          <w:p>
            <w:pPr>
              <w:jc w:val="right"/>
              <w:ind w:right="24"/>
              <w:spacing w:after="0" w:line="219" w:lineRule="exact"/>
              <w:rPr>
                <w:sz w:val="20"/>
                <w:szCs w:val="20"/>
                <w:color w:val="auto"/>
              </w:rPr>
            </w:pPr>
            <w:r>
              <w:rPr>
                <w:rFonts w:ascii="Arial" w:cs="Arial" w:eastAsia="Arial" w:hAnsi="Arial"/>
                <w:sz w:val="20"/>
                <w:szCs w:val="20"/>
                <w:color w:val="231F20"/>
              </w:rPr>
              <w:t>—</w:t>
            </w:r>
          </w:p>
        </w:tc>
        <w:tc>
          <w:tcPr>
            <w:tcW w:w="180" w:type="dxa"/>
            <w:vAlign w:val="bottom"/>
          </w:tcPr>
          <w:p>
            <w:pPr>
              <w:spacing w:after="0"/>
              <w:rPr>
                <w:sz w:val="19"/>
                <w:szCs w:val="19"/>
                <w:color w:val="auto"/>
              </w:rPr>
            </w:pPr>
          </w:p>
        </w:tc>
        <w:tc>
          <w:tcPr>
            <w:tcW w:w="600" w:type="dxa"/>
            <w:vAlign w:val="bottom"/>
            <w:tcBorders>
              <w:top w:val="single" w:sz="8" w:color="231F20"/>
              <w:bottom w:val="single" w:sz="8" w:color="231F20"/>
            </w:tcBorders>
          </w:tcPr>
          <w:p>
            <w:pPr>
              <w:spacing w:after="0"/>
              <w:rPr>
                <w:sz w:val="19"/>
                <w:szCs w:val="19"/>
                <w:color w:val="auto"/>
              </w:rPr>
            </w:pPr>
          </w:p>
        </w:tc>
        <w:tc>
          <w:tcPr>
            <w:tcW w:w="1080" w:type="dxa"/>
            <w:vAlign w:val="bottom"/>
            <w:tcBorders>
              <w:top w:val="single" w:sz="8" w:color="231F20"/>
              <w:bottom w:val="single" w:sz="8" w:color="231F20"/>
            </w:tcBorders>
          </w:tcPr>
          <w:p>
            <w:pPr>
              <w:jc w:val="right"/>
              <w:ind w:right="40"/>
              <w:spacing w:after="0" w:line="219" w:lineRule="exact"/>
              <w:rPr>
                <w:sz w:val="20"/>
                <w:szCs w:val="20"/>
                <w:color w:val="auto"/>
              </w:rPr>
            </w:pPr>
            <w:r>
              <w:rPr>
                <w:rFonts w:ascii="Arial" w:cs="Arial" w:eastAsia="Arial" w:hAnsi="Arial"/>
                <w:sz w:val="20"/>
                <w:szCs w:val="20"/>
                <w:color w:val="231F20"/>
              </w:rPr>
              <w:t>0.0%</w:t>
            </w:r>
          </w:p>
        </w:tc>
      </w:tr>
      <w:tr>
        <w:trPr>
          <w:trHeight w:val="20"/>
        </w:trPr>
        <w:tc>
          <w:tcPr>
            <w:tcW w:w="6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r>
    </w:tbl>
    <w:p>
      <w:pPr>
        <w:spacing w:after="0" w:line="101" w:lineRule="exact"/>
        <w:rPr>
          <w:sz w:val="20"/>
          <w:szCs w:val="20"/>
          <w:color w:val="auto"/>
        </w:rPr>
      </w:pPr>
    </w:p>
    <w:p>
      <w:pPr>
        <w:ind w:right="880" w:firstLine="490"/>
        <w:spacing w:after="0" w:line="227" w:lineRule="auto"/>
        <w:rPr>
          <w:sz w:val="20"/>
          <w:szCs w:val="20"/>
          <w:color w:val="auto"/>
        </w:rPr>
      </w:pPr>
      <w:r>
        <w:rPr>
          <w:rFonts w:ascii="Arial" w:cs="Arial" w:eastAsia="Arial" w:hAnsi="Arial"/>
          <w:sz w:val="26"/>
          <w:szCs w:val="26"/>
          <w:color w:val="231F20"/>
          <w:vertAlign w:val="superscript"/>
        </w:rPr>
        <w:t>(a)</w:t>
      </w:r>
      <w:r>
        <w:rPr>
          <w:rFonts w:ascii="Arial" w:cs="Arial" w:eastAsia="Arial" w:hAnsi="Arial"/>
          <w:sz w:val="20"/>
          <w:szCs w:val="20"/>
          <w:color w:val="231F20"/>
        </w:rPr>
        <w:t>The Company’s state income tax benefit for the current period is primarily attributable to California, which represents the Company’s principal state tax jurisdiction.</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The following table presents the required disclosures prior to our adoption of ASU 2023-09 and reconciles the U.S.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231F20"/>
        </w:rPr>
        <w:t>federal statutory income tax rate to the actual global effective income tax rate for the year ended December 31,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1940" w:type="dxa"/>
            <w:vAlign w:val="bottom"/>
            <w:tcBorders>
              <w:bottom w:val="single" w:sz="8" w:color="231F20"/>
            </w:tcBorders>
            <w:gridSpan w:val="3"/>
          </w:tcPr>
          <w:p>
            <w:pPr>
              <w:jc w:val="center"/>
              <w:ind w:left="165"/>
              <w:spacing w:after="0"/>
              <w:rPr>
                <w:sz w:val="20"/>
                <w:szCs w:val="20"/>
                <w:color w:val="auto"/>
              </w:rPr>
            </w:pPr>
            <w:r>
              <w:rPr>
                <w:rFonts w:ascii="Arial" w:cs="Arial" w:eastAsia="Arial" w:hAnsi="Arial"/>
                <w:sz w:val="16"/>
                <w:szCs w:val="16"/>
                <w:b w:val="1"/>
                <w:bCs w:val="1"/>
                <w:color w:val="231F20"/>
                <w:w w:val="99"/>
              </w:rPr>
              <w:t>December 31,</w:t>
            </w:r>
          </w:p>
        </w:tc>
        <w:tc>
          <w:tcPr>
            <w:tcW w:w="1080" w:type="dxa"/>
            <w:vAlign w:val="bottom"/>
            <w:tcBorders>
              <w:bottom w:val="single" w:sz="8" w:color="231F20"/>
            </w:tcBorders>
          </w:tcPr>
          <w:p>
            <w:pPr>
              <w:spacing w:after="0"/>
              <w:rPr>
                <w:sz w:val="17"/>
                <w:szCs w:val="17"/>
                <w:color w:val="auto"/>
              </w:rPr>
            </w:pPr>
          </w:p>
        </w:tc>
      </w:tr>
      <w:tr>
        <w:trPr>
          <w:trHeight w:val="193"/>
        </w:trPr>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231F20"/>
              </w:rPr>
              <w:t>2024</w:t>
            </w: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4"/>
        </w:trPr>
        <w:tc>
          <w:tcPr>
            <w:tcW w:w="7300" w:type="dxa"/>
            <w:vAlign w:val="bottom"/>
            <w:shd w:val="clear" w:color="auto" w:fill="EBECEC"/>
          </w:tcPr>
          <w:p>
            <w:pPr>
              <w:spacing w:after="0"/>
              <w:rPr>
                <w:sz w:val="20"/>
                <w:szCs w:val="20"/>
                <w:color w:val="auto"/>
              </w:rPr>
            </w:pPr>
            <w:r>
              <w:rPr>
                <w:rFonts w:ascii="Arial" w:cs="Arial" w:eastAsia="Arial" w:hAnsi="Arial"/>
                <w:sz w:val="20"/>
                <w:szCs w:val="20"/>
                <w:color w:val="231F20"/>
              </w:rPr>
              <w:t>Statutory rate</w:t>
            </w:r>
          </w:p>
        </w:tc>
        <w:tc>
          <w:tcPr>
            <w:tcW w:w="480" w:type="dxa"/>
            <w:vAlign w:val="bottom"/>
            <w:gridSpan w:val="2"/>
            <w:shd w:val="clear" w:color="auto" w:fill="EBECEC"/>
          </w:tcPr>
          <w:p>
            <w:pPr>
              <w:jc w:val="right"/>
              <w:ind w:right="260"/>
              <w:spacing w:after="0"/>
              <w:rPr>
                <w:sz w:val="20"/>
                <w:szCs w:val="20"/>
                <w:color w:val="auto"/>
              </w:rPr>
            </w:pPr>
            <w:r>
              <w:rPr>
                <w:rFonts w:ascii="Arial" w:cs="Arial" w:eastAsia="Arial" w:hAnsi="Arial"/>
                <w:sz w:val="20"/>
                <w:szCs w:val="20"/>
                <w:color w:val="231F20"/>
                <w:w w:val="89"/>
              </w:rPr>
              <w:t>$</w:t>
            </w:r>
          </w:p>
        </w:tc>
        <w:tc>
          <w:tcPr>
            <w:tcW w:w="116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(10,777)</w:t>
            </w:r>
          </w:p>
        </w:tc>
        <w:tc>
          <w:tcPr>
            <w:tcW w:w="180" w:type="dxa"/>
            <w:vAlign w:val="bottom"/>
            <w:shd w:val="clear" w:color="auto" w:fill="EBECEC"/>
          </w:tcPr>
          <w:p>
            <w:pPr>
              <w:spacing w:after="0"/>
              <w:rPr>
                <w:sz w:val="21"/>
                <w:szCs w:val="21"/>
                <w:color w:val="auto"/>
              </w:rPr>
            </w:pPr>
          </w:p>
        </w:tc>
        <w:tc>
          <w:tcPr>
            <w:tcW w:w="600" w:type="dxa"/>
            <w:vAlign w:val="bottom"/>
            <w:shd w:val="clear" w:color="auto" w:fill="EBECEC"/>
          </w:tcPr>
          <w:p>
            <w:pPr>
              <w:spacing w:after="0"/>
              <w:rPr>
                <w:sz w:val="21"/>
                <w:szCs w:val="21"/>
                <w:color w:val="auto"/>
              </w:rPr>
            </w:pPr>
          </w:p>
        </w:tc>
        <w:tc>
          <w:tcPr>
            <w:tcW w:w="1080" w:type="dxa"/>
            <w:vAlign w:val="bottom"/>
            <w:shd w:val="clear" w:color="auto" w:fill="EBECEC"/>
          </w:tcPr>
          <w:p>
            <w:pPr>
              <w:jc w:val="right"/>
              <w:ind w:right="40"/>
              <w:spacing w:after="0"/>
              <w:rPr>
                <w:sz w:val="20"/>
                <w:szCs w:val="20"/>
                <w:color w:val="auto"/>
              </w:rPr>
            </w:pPr>
            <w:r>
              <w:rPr>
                <w:rFonts w:ascii="Arial" w:cs="Arial" w:eastAsia="Arial" w:hAnsi="Arial"/>
                <w:sz w:val="20"/>
                <w:szCs w:val="20"/>
                <w:color w:val="231F20"/>
              </w:rPr>
              <w:t>21.0%</w:t>
            </w:r>
          </w:p>
        </w:tc>
      </w:tr>
      <w:tr>
        <w:trPr>
          <w:trHeight w:val="244"/>
        </w:trPr>
        <w:tc>
          <w:tcPr>
            <w:tcW w:w="7300" w:type="dxa"/>
            <w:vAlign w:val="bottom"/>
          </w:tcPr>
          <w:p>
            <w:pPr>
              <w:spacing w:after="0"/>
              <w:rPr>
                <w:sz w:val="20"/>
                <w:szCs w:val="20"/>
                <w:color w:val="auto"/>
              </w:rPr>
            </w:pPr>
            <w:r>
              <w:rPr>
                <w:rFonts w:ascii="Arial" w:cs="Arial" w:eastAsia="Arial" w:hAnsi="Arial"/>
                <w:sz w:val="20"/>
                <w:szCs w:val="20"/>
                <w:color w:val="231F20"/>
              </w:rPr>
              <w:t>Stock-based compensation</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jc w:val="right"/>
              <w:ind w:right="25"/>
              <w:spacing w:after="0"/>
              <w:rPr>
                <w:sz w:val="20"/>
                <w:szCs w:val="20"/>
                <w:color w:val="auto"/>
              </w:rPr>
            </w:pPr>
            <w:r>
              <w:rPr>
                <w:rFonts w:ascii="Arial" w:cs="Arial" w:eastAsia="Arial" w:hAnsi="Arial"/>
                <w:sz w:val="20"/>
                <w:szCs w:val="20"/>
                <w:color w:val="231F20"/>
              </w:rPr>
              <w:t>360</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231F20"/>
              </w:rPr>
              <w:t>(0.7%)</w:t>
            </w:r>
          </w:p>
        </w:tc>
      </w:tr>
      <w:tr>
        <w:trPr>
          <w:trHeight w:val="244"/>
        </w:trPr>
        <w:tc>
          <w:tcPr>
            <w:tcW w:w="7300" w:type="dxa"/>
            <w:vAlign w:val="bottom"/>
            <w:shd w:val="clear" w:color="auto" w:fill="EBECEC"/>
          </w:tcPr>
          <w:p>
            <w:pPr>
              <w:spacing w:after="0"/>
              <w:rPr>
                <w:sz w:val="20"/>
                <w:szCs w:val="20"/>
                <w:color w:val="auto"/>
              </w:rPr>
            </w:pPr>
            <w:r>
              <w:rPr>
                <w:rFonts w:ascii="Arial" w:cs="Arial" w:eastAsia="Arial" w:hAnsi="Arial"/>
                <w:sz w:val="20"/>
                <w:szCs w:val="20"/>
                <w:color w:val="231F20"/>
              </w:rPr>
              <w:t>State taxes, net of the federal tax benefit</w:t>
            </w:r>
          </w:p>
        </w:tc>
        <w:tc>
          <w:tcPr>
            <w:tcW w:w="20" w:type="dxa"/>
            <w:vAlign w:val="bottom"/>
            <w:shd w:val="clear" w:color="auto" w:fill="EBECEC"/>
          </w:tcPr>
          <w:p>
            <w:pPr>
              <w:spacing w:after="0"/>
              <w:rPr>
                <w:sz w:val="21"/>
                <w:szCs w:val="21"/>
                <w:color w:val="auto"/>
              </w:rPr>
            </w:pPr>
          </w:p>
        </w:tc>
        <w:tc>
          <w:tcPr>
            <w:tcW w:w="460" w:type="dxa"/>
            <w:vAlign w:val="bottom"/>
            <w:shd w:val="clear" w:color="auto" w:fill="EBECEC"/>
          </w:tcPr>
          <w:p>
            <w:pPr>
              <w:spacing w:after="0"/>
              <w:rPr>
                <w:sz w:val="21"/>
                <w:szCs w:val="21"/>
                <w:color w:val="auto"/>
              </w:rPr>
            </w:pPr>
          </w:p>
        </w:tc>
        <w:tc>
          <w:tcPr>
            <w:tcW w:w="116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(3,892)</w:t>
            </w:r>
          </w:p>
        </w:tc>
        <w:tc>
          <w:tcPr>
            <w:tcW w:w="180" w:type="dxa"/>
            <w:vAlign w:val="bottom"/>
            <w:shd w:val="clear" w:color="auto" w:fill="EBECEC"/>
          </w:tcPr>
          <w:p>
            <w:pPr>
              <w:spacing w:after="0"/>
              <w:rPr>
                <w:sz w:val="21"/>
                <w:szCs w:val="21"/>
                <w:color w:val="auto"/>
              </w:rPr>
            </w:pPr>
          </w:p>
        </w:tc>
        <w:tc>
          <w:tcPr>
            <w:tcW w:w="600" w:type="dxa"/>
            <w:vAlign w:val="bottom"/>
            <w:shd w:val="clear" w:color="auto" w:fill="EBECEC"/>
          </w:tcPr>
          <w:p>
            <w:pPr>
              <w:spacing w:after="0"/>
              <w:rPr>
                <w:sz w:val="21"/>
                <w:szCs w:val="21"/>
                <w:color w:val="auto"/>
              </w:rPr>
            </w:pPr>
          </w:p>
        </w:tc>
        <w:tc>
          <w:tcPr>
            <w:tcW w:w="1080" w:type="dxa"/>
            <w:vAlign w:val="bottom"/>
            <w:shd w:val="clear" w:color="auto" w:fill="EBECEC"/>
          </w:tcPr>
          <w:p>
            <w:pPr>
              <w:jc w:val="right"/>
              <w:ind w:right="40"/>
              <w:spacing w:after="0"/>
              <w:rPr>
                <w:sz w:val="20"/>
                <w:szCs w:val="20"/>
                <w:color w:val="auto"/>
              </w:rPr>
            </w:pPr>
            <w:r>
              <w:rPr>
                <w:rFonts w:ascii="Arial" w:cs="Arial" w:eastAsia="Arial" w:hAnsi="Arial"/>
                <w:sz w:val="20"/>
                <w:szCs w:val="20"/>
                <w:color w:val="231F20"/>
              </w:rPr>
              <w:t>7.6%</w:t>
            </w:r>
          </w:p>
        </w:tc>
      </w:tr>
      <w:tr>
        <w:trPr>
          <w:trHeight w:val="244"/>
        </w:trPr>
        <w:tc>
          <w:tcPr>
            <w:tcW w:w="7300" w:type="dxa"/>
            <w:vAlign w:val="bottom"/>
          </w:tcPr>
          <w:p>
            <w:pPr>
              <w:spacing w:after="0"/>
              <w:rPr>
                <w:sz w:val="20"/>
                <w:szCs w:val="20"/>
                <w:color w:val="auto"/>
              </w:rPr>
            </w:pPr>
            <w:r>
              <w:rPr>
                <w:rFonts w:ascii="Arial" w:cs="Arial" w:eastAsia="Arial" w:hAnsi="Arial"/>
                <w:sz w:val="20"/>
                <w:szCs w:val="20"/>
                <w:color w:val="231F20"/>
              </w:rPr>
              <w:t>R&amp;D credit benefit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(1,980)</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20"/>
                <w:szCs w:val="20"/>
                <w:color w:val="231F20"/>
              </w:rPr>
              <w:t>3.9%</w:t>
            </w:r>
          </w:p>
        </w:tc>
      </w:tr>
      <w:tr>
        <w:trPr>
          <w:trHeight w:val="264"/>
        </w:trPr>
        <w:tc>
          <w:tcPr>
            <w:tcW w:w="7300" w:type="dxa"/>
            <w:vAlign w:val="bottom"/>
            <w:tcBorders>
              <w:bottom w:val="single" w:sz="8" w:color="EBECEC"/>
            </w:tcBorders>
            <w:shd w:val="clear" w:color="auto" w:fill="EBECEC"/>
          </w:tcPr>
          <w:p>
            <w:pPr>
              <w:spacing w:after="0"/>
              <w:rPr>
                <w:sz w:val="20"/>
                <w:szCs w:val="20"/>
                <w:color w:val="auto"/>
              </w:rPr>
            </w:pPr>
            <w:r>
              <w:rPr>
                <w:rFonts w:ascii="Arial" w:cs="Arial" w:eastAsia="Arial" w:hAnsi="Arial"/>
                <w:sz w:val="20"/>
                <w:szCs w:val="20"/>
                <w:color w:val="231F20"/>
              </w:rPr>
              <w:t>Change in valuation allowance</w:t>
            </w:r>
          </w:p>
        </w:tc>
        <w:tc>
          <w:tcPr>
            <w:tcW w:w="20" w:type="dxa"/>
            <w:vAlign w:val="bottom"/>
            <w:tcBorders>
              <w:bottom w:val="single" w:sz="8" w:color="EBECEC"/>
            </w:tcBorders>
            <w:shd w:val="clear" w:color="auto" w:fill="EBECEC"/>
          </w:tcPr>
          <w:p>
            <w:pPr>
              <w:spacing w:after="0"/>
              <w:rPr>
                <w:sz w:val="22"/>
                <w:szCs w:val="22"/>
                <w:color w:val="auto"/>
              </w:rPr>
            </w:pPr>
          </w:p>
        </w:tc>
        <w:tc>
          <w:tcPr>
            <w:tcW w:w="460" w:type="dxa"/>
            <w:vAlign w:val="bottom"/>
            <w:tcBorders>
              <w:bottom w:val="single" w:sz="8" w:color="231F20"/>
            </w:tcBorders>
            <w:shd w:val="clear" w:color="auto" w:fill="EBECEC"/>
          </w:tcPr>
          <w:p>
            <w:pPr>
              <w:spacing w:after="0"/>
              <w:rPr>
                <w:sz w:val="22"/>
                <w:szCs w:val="22"/>
                <w:color w:val="auto"/>
              </w:rPr>
            </w:pPr>
          </w:p>
        </w:tc>
        <w:tc>
          <w:tcPr>
            <w:tcW w:w="1160" w:type="dxa"/>
            <w:vAlign w:val="bottom"/>
            <w:tcBorders>
              <w:bottom w:val="single" w:sz="8" w:color="231F20"/>
            </w:tcBorders>
            <w:shd w:val="clear" w:color="auto" w:fill="EBECEC"/>
          </w:tcPr>
          <w:p>
            <w:pPr>
              <w:jc w:val="right"/>
              <w:ind w:right="25"/>
              <w:spacing w:after="0"/>
              <w:rPr>
                <w:sz w:val="20"/>
                <w:szCs w:val="20"/>
                <w:color w:val="auto"/>
              </w:rPr>
            </w:pPr>
            <w:r>
              <w:rPr>
                <w:rFonts w:ascii="Arial" w:cs="Arial" w:eastAsia="Arial" w:hAnsi="Arial"/>
                <w:sz w:val="20"/>
                <w:szCs w:val="20"/>
                <w:color w:val="231F20"/>
              </w:rPr>
              <w:t>16,289</w:t>
            </w:r>
          </w:p>
        </w:tc>
        <w:tc>
          <w:tcPr>
            <w:tcW w:w="180" w:type="dxa"/>
            <w:vAlign w:val="bottom"/>
            <w:tcBorders>
              <w:bottom w:val="single" w:sz="8" w:color="EBECEC"/>
            </w:tcBorders>
            <w:shd w:val="clear" w:color="auto" w:fill="EBECEC"/>
          </w:tcPr>
          <w:p>
            <w:pPr>
              <w:spacing w:after="0"/>
              <w:rPr>
                <w:sz w:val="22"/>
                <w:szCs w:val="22"/>
                <w:color w:val="auto"/>
              </w:rPr>
            </w:pPr>
          </w:p>
        </w:tc>
        <w:tc>
          <w:tcPr>
            <w:tcW w:w="600" w:type="dxa"/>
            <w:vAlign w:val="bottom"/>
            <w:tcBorders>
              <w:bottom w:val="single" w:sz="8" w:color="231F20"/>
            </w:tcBorders>
            <w:shd w:val="clear" w:color="auto" w:fill="EBECEC"/>
          </w:tcPr>
          <w:p>
            <w:pPr>
              <w:spacing w:after="0"/>
              <w:rPr>
                <w:sz w:val="22"/>
                <w:szCs w:val="22"/>
                <w:color w:val="auto"/>
              </w:rPr>
            </w:pPr>
          </w:p>
        </w:tc>
        <w:tc>
          <w:tcPr>
            <w:tcW w:w="108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(31.8%)</w:t>
            </w:r>
          </w:p>
        </w:tc>
      </w:tr>
      <w:tr>
        <w:trPr>
          <w:trHeight w:val="219"/>
        </w:trPr>
        <w:tc>
          <w:tcPr>
            <w:tcW w:w="7300" w:type="dxa"/>
            <w:vAlign w:val="bottom"/>
          </w:tcPr>
          <w:p>
            <w:pPr>
              <w:spacing w:after="0" w:line="219" w:lineRule="exact"/>
              <w:rPr>
                <w:sz w:val="20"/>
                <w:szCs w:val="20"/>
                <w:color w:val="auto"/>
              </w:rPr>
            </w:pPr>
            <w:r>
              <w:rPr>
                <w:rFonts w:ascii="Arial" w:cs="Arial" w:eastAsia="Arial" w:hAnsi="Arial"/>
                <w:sz w:val="20"/>
                <w:szCs w:val="20"/>
                <w:color w:val="231F20"/>
              </w:rPr>
              <w:t>Effective Tax Rate</w:t>
            </w:r>
          </w:p>
        </w:tc>
        <w:tc>
          <w:tcPr>
            <w:tcW w:w="20" w:type="dxa"/>
            <w:vAlign w:val="bottom"/>
          </w:tcPr>
          <w:p>
            <w:pPr>
              <w:spacing w:after="0"/>
              <w:rPr>
                <w:sz w:val="19"/>
                <w:szCs w:val="19"/>
                <w:color w:val="auto"/>
              </w:rPr>
            </w:pPr>
          </w:p>
        </w:tc>
        <w:tc>
          <w:tcPr>
            <w:tcW w:w="460" w:type="dxa"/>
            <w:vAlign w:val="bottom"/>
            <w:tcBorders>
              <w:bottom w:val="single" w:sz="8" w:color="231F20"/>
            </w:tcBorders>
          </w:tcPr>
          <w:p>
            <w:pPr>
              <w:jc w:val="right"/>
              <w:ind w:right="260"/>
              <w:spacing w:after="0" w:line="219" w:lineRule="exact"/>
              <w:rPr>
                <w:sz w:val="20"/>
                <w:szCs w:val="20"/>
                <w:color w:val="auto"/>
              </w:rPr>
            </w:pPr>
            <w:r>
              <w:rPr>
                <w:rFonts w:ascii="Arial" w:cs="Arial" w:eastAsia="Arial" w:hAnsi="Arial"/>
                <w:sz w:val="20"/>
                <w:szCs w:val="20"/>
                <w:color w:val="231F20"/>
                <w:w w:val="71"/>
              </w:rPr>
              <w:t>$</w:t>
            </w:r>
          </w:p>
        </w:tc>
        <w:tc>
          <w:tcPr>
            <w:tcW w:w="1160" w:type="dxa"/>
            <w:vAlign w:val="bottom"/>
            <w:tcBorders>
              <w:bottom w:val="single" w:sz="8" w:color="231F20"/>
            </w:tcBorders>
          </w:tcPr>
          <w:p>
            <w:pPr>
              <w:jc w:val="right"/>
              <w:ind w:right="25"/>
              <w:spacing w:after="0" w:line="219" w:lineRule="exact"/>
              <w:rPr>
                <w:sz w:val="20"/>
                <w:szCs w:val="20"/>
                <w:color w:val="auto"/>
              </w:rPr>
            </w:pPr>
            <w:r>
              <w:rPr>
                <w:rFonts w:ascii="Arial" w:cs="Arial" w:eastAsia="Arial" w:hAnsi="Arial"/>
                <w:sz w:val="20"/>
                <w:szCs w:val="20"/>
                <w:color w:val="231F20"/>
              </w:rPr>
              <w:t>—</w:t>
            </w:r>
          </w:p>
        </w:tc>
        <w:tc>
          <w:tcPr>
            <w:tcW w:w="180" w:type="dxa"/>
            <w:vAlign w:val="bottom"/>
          </w:tcPr>
          <w:p>
            <w:pPr>
              <w:spacing w:after="0"/>
              <w:rPr>
                <w:sz w:val="19"/>
                <w:szCs w:val="19"/>
                <w:color w:val="auto"/>
              </w:rPr>
            </w:pPr>
          </w:p>
        </w:tc>
        <w:tc>
          <w:tcPr>
            <w:tcW w:w="60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40"/>
              <w:spacing w:after="0" w:line="219" w:lineRule="exact"/>
              <w:rPr>
                <w:sz w:val="20"/>
                <w:szCs w:val="20"/>
                <w:color w:val="auto"/>
              </w:rPr>
            </w:pPr>
            <w:r>
              <w:rPr>
                <w:rFonts w:ascii="Arial" w:cs="Arial" w:eastAsia="Arial" w:hAnsi="Arial"/>
                <w:sz w:val="20"/>
                <w:szCs w:val="20"/>
                <w:color w:val="231F20"/>
              </w:rPr>
              <w:t>0.0%</w:t>
            </w:r>
          </w:p>
        </w:tc>
      </w:tr>
      <w:tr>
        <w:trPr>
          <w:trHeight w:val="20"/>
        </w:trPr>
        <w:tc>
          <w:tcPr>
            <w:tcW w:w="73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r>
    </w:tbl>
    <w:p>
      <w:pPr>
        <w:spacing w:after="0" w:line="221"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231F20"/>
        </w:rPr>
        <w:t>Recognition of deferred tax assets is appropriate when realization of such assets is more likely than not. Based upon the weight of available positive and negative evidence, which includes the Company’s historical operating performance and the U.S. cumulative net losses in all prior periods, the Company has provided a valuation allowance against its U.S. deferred tax assets. The valuation allowance decreased by $2.4 million from December 31, 2024 to December 31, 2025 due to reduction in historical state net operating losses.</w:t>
      </w:r>
    </w:p>
    <w:p>
      <w:pPr>
        <w:spacing w:after="0" w:line="192" w:lineRule="exact"/>
        <w:rPr>
          <w:sz w:val="20"/>
          <w:szCs w:val="20"/>
          <w:color w:val="auto"/>
        </w:rPr>
      </w:pPr>
    </w:p>
    <w:p>
      <w:pPr>
        <w:ind w:right="160" w:firstLine="490"/>
        <w:spacing w:after="0" w:line="261" w:lineRule="auto"/>
        <w:rPr>
          <w:sz w:val="20"/>
          <w:szCs w:val="20"/>
          <w:color w:val="auto"/>
        </w:rPr>
      </w:pPr>
      <w:r>
        <w:rPr>
          <w:rFonts w:ascii="Arial" w:cs="Arial" w:eastAsia="Arial" w:hAnsi="Arial"/>
          <w:sz w:val="20"/>
          <w:szCs w:val="20"/>
          <w:color w:val="231F20"/>
        </w:rPr>
        <w:t>Deferred income taxes reflect the net tax effects of losses, credit carryforwards and temporary differences between the carrying amounts of assets and liabilities for financial reporting purposes and the amounts used for income tax purposes. Components of the Company’s deferred tax assets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960" w:type="dxa"/>
            <w:vAlign w:val="bottom"/>
            <w:tcBorders>
              <w:bottom w:val="single" w:sz="8" w:color="231F20"/>
            </w:tcBorders>
            <w:gridSpan w:val="3"/>
          </w:tcPr>
          <w:p>
            <w:pPr>
              <w:jc w:val="right"/>
              <w:spacing w:after="0"/>
              <w:rPr>
                <w:sz w:val="20"/>
                <w:szCs w:val="20"/>
                <w:color w:val="auto"/>
              </w:rPr>
            </w:pPr>
            <w:r>
              <w:rPr>
                <w:rFonts w:ascii="Arial" w:cs="Arial" w:eastAsia="Arial" w:hAnsi="Arial"/>
                <w:sz w:val="16"/>
                <w:szCs w:val="16"/>
                <w:b w:val="1"/>
                <w:bCs w:val="1"/>
                <w:color w:val="231F20"/>
              </w:rPr>
              <w:t>December 31,</w:t>
            </w:r>
          </w:p>
        </w:tc>
        <w:tc>
          <w:tcPr>
            <w:tcW w:w="1140" w:type="dxa"/>
            <w:vAlign w:val="bottom"/>
            <w:tcBorders>
              <w:bottom w:val="single" w:sz="8" w:color="231F20"/>
            </w:tcBorders>
          </w:tcPr>
          <w:p>
            <w:pPr>
              <w:spacing w:after="0"/>
              <w:rPr>
                <w:sz w:val="17"/>
                <w:szCs w:val="17"/>
                <w:color w:val="auto"/>
              </w:rPr>
            </w:pPr>
          </w:p>
        </w:tc>
      </w:tr>
      <w:tr>
        <w:trPr>
          <w:trHeight w:val="179"/>
        </w:trPr>
        <w:tc>
          <w:tcPr>
            <w:tcW w:w="5260" w:type="dxa"/>
            <w:vAlign w:val="bottom"/>
            <w:tcBorders>
              <w:bottom w:val="single" w:sz="8" w:color="EBECEC"/>
            </w:tcBorders>
          </w:tcPr>
          <w:p>
            <w:pPr>
              <w:spacing w:after="0"/>
              <w:rPr>
                <w:sz w:val="15"/>
                <w:szCs w:val="15"/>
                <w:color w:val="auto"/>
              </w:rPr>
            </w:pPr>
          </w:p>
        </w:tc>
        <w:tc>
          <w:tcPr>
            <w:tcW w:w="2100" w:type="dxa"/>
            <w:vAlign w:val="bottom"/>
            <w:tcBorders>
              <w:bottom w:val="single" w:sz="8" w:color="EBECEC"/>
            </w:tcBorders>
          </w:tcPr>
          <w:p>
            <w:pPr>
              <w:spacing w:after="0"/>
              <w:rPr>
                <w:sz w:val="15"/>
                <w:szCs w:val="15"/>
                <w:color w:val="auto"/>
              </w:rPr>
            </w:pPr>
          </w:p>
        </w:tc>
        <w:tc>
          <w:tcPr>
            <w:tcW w:w="340" w:type="dxa"/>
            <w:vAlign w:val="bottom"/>
            <w:tcBorders>
              <w:bottom w:val="single" w:sz="8" w:color="231F20"/>
            </w:tcBorders>
          </w:tcPr>
          <w:p>
            <w:pPr>
              <w:spacing w:after="0"/>
              <w:rPr>
                <w:sz w:val="15"/>
                <w:szCs w:val="15"/>
                <w:color w:val="auto"/>
              </w:rPr>
            </w:pPr>
          </w:p>
        </w:tc>
        <w:tc>
          <w:tcPr>
            <w:tcW w:w="1300" w:type="dxa"/>
            <w:vAlign w:val="bottom"/>
            <w:tcBorders>
              <w:bottom w:val="single" w:sz="8" w:color="231F20"/>
            </w:tcBorders>
          </w:tcPr>
          <w:p>
            <w:pPr>
              <w:jc w:val="right"/>
              <w:ind w:right="604"/>
              <w:spacing w:after="0" w:line="179" w:lineRule="exact"/>
              <w:rPr>
                <w:sz w:val="20"/>
                <w:szCs w:val="20"/>
                <w:color w:val="auto"/>
              </w:rPr>
            </w:pPr>
            <w:r>
              <w:rPr>
                <w:rFonts w:ascii="Arial" w:cs="Arial" w:eastAsia="Arial" w:hAnsi="Arial"/>
                <w:sz w:val="16"/>
                <w:szCs w:val="16"/>
                <w:b w:val="1"/>
                <w:bCs w:val="1"/>
                <w:color w:val="231F20"/>
              </w:rPr>
              <w:t>2025</w:t>
            </w:r>
          </w:p>
        </w:tc>
        <w:tc>
          <w:tcPr>
            <w:tcW w:w="180" w:type="dxa"/>
            <w:vAlign w:val="bottom"/>
            <w:tcBorders>
              <w:bottom w:val="single" w:sz="8" w:color="EBECEC"/>
            </w:tcBorders>
          </w:tcPr>
          <w:p>
            <w:pPr>
              <w:spacing w:after="0"/>
              <w:rPr>
                <w:sz w:val="15"/>
                <w:szCs w:val="15"/>
                <w:color w:val="auto"/>
              </w:rPr>
            </w:pPr>
          </w:p>
        </w:tc>
        <w:tc>
          <w:tcPr>
            <w:tcW w:w="480" w:type="dxa"/>
            <w:vAlign w:val="bottom"/>
            <w:tcBorders>
              <w:bottom w:val="single" w:sz="8" w:color="231F20"/>
            </w:tcBorders>
          </w:tcPr>
          <w:p>
            <w:pPr>
              <w:spacing w:after="0"/>
              <w:rPr>
                <w:sz w:val="15"/>
                <w:szCs w:val="15"/>
                <w:color w:val="auto"/>
              </w:rPr>
            </w:pPr>
          </w:p>
        </w:tc>
        <w:tc>
          <w:tcPr>
            <w:tcW w:w="1140" w:type="dxa"/>
            <w:vAlign w:val="bottom"/>
            <w:tcBorders>
              <w:bottom w:val="single" w:sz="8" w:color="231F20"/>
            </w:tcBorders>
          </w:tcPr>
          <w:p>
            <w:pPr>
              <w:jc w:val="right"/>
              <w:ind w:right="582"/>
              <w:spacing w:after="0" w:line="179" w:lineRule="exact"/>
              <w:rPr>
                <w:sz w:val="20"/>
                <w:szCs w:val="20"/>
                <w:color w:val="auto"/>
              </w:rPr>
            </w:pPr>
            <w:r>
              <w:rPr>
                <w:rFonts w:ascii="Arial" w:cs="Arial" w:eastAsia="Arial" w:hAnsi="Arial"/>
                <w:sz w:val="16"/>
                <w:szCs w:val="16"/>
                <w:b w:val="1"/>
                <w:bCs w:val="1"/>
                <w:color w:val="231F20"/>
              </w:rPr>
              <w:t>2024</w:t>
            </w:r>
          </w:p>
        </w:tc>
      </w:tr>
      <w:tr>
        <w:trPr>
          <w:trHeight w:val="225"/>
        </w:trPr>
        <w:tc>
          <w:tcPr>
            <w:tcW w:w="5260" w:type="dxa"/>
            <w:vAlign w:val="bottom"/>
            <w:shd w:val="clear" w:color="auto" w:fill="EBECEC"/>
          </w:tcPr>
          <w:p>
            <w:pPr>
              <w:spacing w:after="0" w:line="225" w:lineRule="exact"/>
              <w:rPr>
                <w:sz w:val="20"/>
                <w:szCs w:val="20"/>
                <w:color w:val="auto"/>
              </w:rPr>
            </w:pPr>
            <w:r>
              <w:rPr>
                <w:rFonts w:ascii="Arial" w:cs="Arial" w:eastAsia="Arial" w:hAnsi="Arial"/>
                <w:sz w:val="20"/>
                <w:szCs w:val="20"/>
                <w:b w:val="1"/>
                <w:bCs w:val="1"/>
                <w:color w:val="231F20"/>
              </w:rPr>
              <w:t>Deferred tax assets</w:t>
            </w:r>
          </w:p>
        </w:tc>
        <w:tc>
          <w:tcPr>
            <w:tcW w:w="2100" w:type="dxa"/>
            <w:vAlign w:val="bottom"/>
            <w:shd w:val="clear" w:color="auto" w:fill="EBECEC"/>
          </w:tcPr>
          <w:p>
            <w:pPr>
              <w:spacing w:after="0"/>
              <w:rPr>
                <w:sz w:val="19"/>
                <w:szCs w:val="19"/>
                <w:color w:val="auto"/>
              </w:rPr>
            </w:pPr>
          </w:p>
        </w:tc>
        <w:tc>
          <w:tcPr>
            <w:tcW w:w="340" w:type="dxa"/>
            <w:vAlign w:val="bottom"/>
            <w:shd w:val="clear" w:color="auto" w:fill="EBECEC"/>
          </w:tcPr>
          <w:p>
            <w:pPr>
              <w:spacing w:after="0"/>
              <w:rPr>
                <w:sz w:val="19"/>
                <w:szCs w:val="19"/>
                <w:color w:val="auto"/>
              </w:rPr>
            </w:pPr>
          </w:p>
        </w:tc>
        <w:tc>
          <w:tcPr>
            <w:tcW w:w="1300" w:type="dxa"/>
            <w:vAlign w:val="bottom"/>
            <w:shd w:val="clear" w:color="auto" w:fill="EBECEC"/>
          </w:tcPr>
          <w:p>
            <w:pPr>
              <w:spacing w:after="0"/>
              <w:rPr>
                <w:sz w:val="19"/>
                <w:szCs w:val="19"/>
                <w:color w:val="auto"/>
              </w:rPr>
            </w:pPr>
          </w:p>
        </w:tc>
        <w:tc>
          <w:tcPr>
            <w:tcW w:w="180" w:type="dxa"/>
            <w:vAlign w:val="bottom"/>
            <w:shd w:val="clear" w:color="auto" w:fill="EBECEC"/>
          </w:tcPr>
          <w:p>
            <w:pPr>
              <w:spacing w:after="0"/>
              <w:rPr>
                <w:sz w:val="19"/>
                <w:szCs w:val="19"/>
                <w:color w:val="auto"/>
              </w:rPr>
            </w:pPr>
          </w:p>
        </w:tc>
        <w:tc>
          <w:tcPr>
            <w:tcW w:w="480" w:type="dxa"/>
            <w:vAlign w:val="bottom"/>
            <w:shd w:val="clear" w:color="auto" w:fill="EBECEC"/>
          </w:tcPr>
          <w:p>
            <w:pPr>
              <w:spacing w:after="0"/>
              <w:rPr>
                <w:sz w:val="19"/>
                <w:szCs w:val="19"/>
                <w:color w:val="auto"/>
              </w:rPr>
            </w:pPr>
          </w:p>
        </w:tc>
        <w:tc>
          <w:tcPr>
            <w:tcW w:w="1140" w:type="dxa"/>
            <w:vAlign w:val="bottom"/>
            <w:shd w:val="clear" w:color="auto" w:fill="EBECEC"/>
          </w:tcPr>
          <w:p>
            <w:pPr>
              <w:spacing w:after="0"/>
              <w:rPr>
                <w:sz w:val="19"/>
                <w:szCs w:val="19"/>
                <w:color w:val="auto"/>
              </w:rPr>
            </w:pPr>
          </w:p>
        </w:tc>
      </w:tr>
      <w:tr>
        <w:trPr>
          <w:trHeight w:val="230"/>
        </w:trPr>
        <w:tc>
          <w:tcPr>
            <w:tcW w:w="5260" w:type="dxa"/>
            <w:vAlign w:val="bottom"/>
          </w:tcPr>
          <w:p>
            <w:pPr>
              <w:ind w:left="280"/>
              <w:spacing w:after="0"/>
              <w:rPr>
                <w:sz w:val="20"/>
                <w:szCs w:val="20"/>
                <w:color w:val="auto"/>
              </w:rPr>
            </w:pPr>
            <w:r>
              <w:rPr>
                <w:rFonts w:ascii="Arial" w:cs="Arial" w:eastAsia="Arial" w:hAnsi="Arial"/>
                <w:sz w:val="20"/>
                <w:szCs w:val="20"/>
                <w:color w:val="231F20"/>
              </w:rPr>
              <w:t>Net operating loss carryforwards</w:t>
            </w:r>
          </w:p>
        </w:tc>
        <w:tc>
          <w:tcPr>
            <w:tcW w:w="210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Arial" w:cs="Arial" w:eastAsia="Arial" w:hAnsi="Arial"/>
                <w:sz w:val="20"/>
                <w:szCs w:val="20"/>
                <w:color w:val="231F20"/>
                <w:w w:val="71"/>
              </w:rPr>
              <w:t>$</w:t>
            </w:r>
          </w:p>
        </w:tc>
        <w:tc>
          <w:tcPr>
            <w:tcW w:w="1300" w:type="dxa"/>
            <w:vAlign w:val="bottom"/>
          </w:tcPr>
          <w:p>
            <w:pPr>
              <w:jc w:val="right"/>
              <w:ind w:right="4"/>
              <w:spacing w:after="0"/>
              <w:rPr>
                <w:sz w:val="20"/>
                <w:szCs w:val="20"/>
                <w:color w:val="auto"/>
              </w:rPr>
            </w:pPr>
            <w:r>
              <w:rPr>
                <w:rFonts w:ascii="Arial" w:cs="Arial" w:eastAsia="Arial" w:hAnsi="Arial"/>
                <w:sz w:val="20"/>
                <w:szCs w:val="20"/>
                <w:color w:val="231F20"/>
              </w:rPr>
              <w:t>28,809</w:t>
            </w:r>
          </w:p>
        </w:tc>
        <w:tc>
          <w:tcPr>
            <w:tcW w:w="180" w:type="dxa"/>
            <w:vAlign w:val="bottom"/>
          </w:tcPr>
          <w:p>
            <w:pPr>
              <w:spacing w:after="0"/>
              <w:rPr>
                <w:sz w:val="20"/>
                <w:szCs w:val="20"/>
                <w:color w:val="auto"/>
              </w:rPr>
            </w:pPr>
          </w:p>
        </w:tc>
        <w:tc>
          <w:tcPr>
            <w:tcW w:w="480" w:type="dxa"/>
            <w:vAlign w:val="bottom"/>
          </w:tcPr>
          <w:p>
            <w:pPr>
              <w:jc w:val="right"/>
              <w:ind w:right="280"/>
              <w:spacing w:after="0"/>
              <w:rPr>
                <w:sz w:val="20"/>
                <w:szCs w:val="20"/>
                <w:color w:val="auto"/>
              </w:rPr>
            </w:pPr>
            <w:r>
              <w:rPr>
                <w:rFonts w:ascii="Arial" w:cs="Arial" w:eastAsia="Arial" w:hAnsi="Arial"/>
                <w:sz w:val="20"/>
                <w:szCs w:val="20"/>
                <w:color w:val="231F20"/>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231F20"/>
              </w:rPr>
              <w:t>28,682</w:t>
            </w:r>
          </w:p>
        </w:tc>
      </w:tr>
      <w:tr>
        <w:trPr>
          <w:trHeight w:val="230"/>
        </w:trPr>
        <w:tc>
          <w:tcPr>
            <w:tcW w:w="526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Capital research expenditures</w:t>
            </w:r>
          </w:p>
        </w:tc>
        <w:tc>
          <w:tcPr>
            <w:tcW w:w="210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300" w:type="dxa"/>
            <w:vAlign w:val="bottom"/>
            <w:shd w:val="clear" w:color="auto" w:fill="EBECEC"/>
          </w:tcPr>
          <w:p>
            <w:pPr>
              <w:jc w:val="right"/>
              <w:ind w:right="4"/>
              <w:spacing w:after="0"/>
              <w:rPr>
                <w:sz w:val="20"/>
                <w:szCs w:val="20"/>
                <w:color w:val="auto"/>
              </w:rPr>
            </w:pPr>
            <w:r>
              <w:rPr>
                <w:rFonts w:ascii="Arial" w:cs="Arial" w:eastAsia="Arial" w:hAnsi="Arial"/>
                <w:sz w:val="20"/>
                <w:szCs w:val="20"/>
                <w:color w:val="231F20"/>
              </w:rPr>
              <w:t>14,796</w:t>
            </w:r>
          </w:p>
        </w:tc>
        <w:tc>
          <w:tcPr>
            <w:tcW w:w="180" w:type="dxa"/>
            <w:vAlign w:val="bottom"/>
            <w:shd w:val="clear" w:color="auto" w:fill="EBECEC"/>
          </w:tcPr>
          <w:p>
            <w:pPr>
              <w:spacing w:after="0"/>
              <w:rPr>
                <w:sz w:val="20"/>
                <w:szCs w:val="20"/>
                <w:color w:val="auto"/>
              </w:rPr>
            </w:pPr>
          </w:p>
        </w:tc>
        <w:tc>
          <w:tcPr>
            <w:tcW w:w="480" w:type="dxa"/>
            <w:vAlign w:val="bottom"/>
            <w:shd w:val="clear" w:color="auto" w:fill="EBECEC"/>
          </w:tcPr>
          <w:p>
            <w:pPr>
              <w:spacing w:after="0"/>
              <w:rPr>
                <w:sz w:val="20"/>
                <w:szCs w:val="20"/>
                <w:color w:val="auto"/>
              </w:rPr>
            </w:pPr>
          </w:p>
        </w:tc>
        <w:tc>
          <w:tcPr>
            <w:tcW w:w="114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18,308</w:t>
            </w:r>
          </w:p>
        </w:tc>
      </w:tr>
      <w:tr>
        <w:trPr>
          <w:trHeight w:val="230"/>
        </w:trPr>
        <w:tc>
          <w:tcPr>
            <w:tcW w:w="5260" w:type="dxa"/>
            <w:vAlign w:val="bottom"/>
          </w:tcPr>
          <w:p>
            <w:pPr>
              <w:ind w:left="280"/>
              <w:spacing w:after="0"/>
              <w:rPr>
                <w:sz w:val="20"/>
                <w:szCs w:val="20"/>
                <w:color w:val="auto"/>
              </w:rPr>
            </w:pPr>
            <w:r>
              <w:rPr>
                <w:rFonts w:ascii="Arial" w:cs="Arial" w:eastAsia="Arial" w:hAnsi="Arial"/>
                <w:sz w:val="20"/>
                <w:szCs w:val="20"/>
                <w:color w:val="231F20"/>
              </w:rPr>
              <w:t>Tax credit carryforwards</w:t>
            </w:r>
          </w:p>
        </w:tc>
        <w:tc>
          <w:tcPr>
            <w:tcW w:w="2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4"/>
              <w:spacing w:after="0"/>
              <w:rPr>
                <w:sz w:val="20"/>
                <w:szCs w:val="20"/>
                <w:color w:val="auto"/>
              </w:rPr>
            </w:pPr>
            <w:r>
              <w:rPr>
                <w:rFonts w:ascii="Arial" w:cs="Arial" w:eastAsia="Arial" w:hAnsi="Arial"/>
                <w:sz w:val="20"/>
                <w:szCs w:val="20"/>
                <w:color w:val="231F20"/>
              </w:rPr>
              <w:t>7,727</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6,788</w:t>
            </w:r>
          </w:p>
        </w:tc>
      </w:tr>
      <w:tr>
        <w:trPr>
          <w:trHeight w:val="230"/>
        </w:trPr>
        <w:tc>
          <w:tcPr>
            <w:tcW w:w="526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Stock-based compensation</w:t>
            </w:r>
          </w:p>
        </w:tc>
        <w:tc>
          <w:tcPr>
            <w:tcW w:w="210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300" w:type="dxa"/>
            <w:vAlign w:val="bottom"/>
            <w:shd w:val="clear" w:color="auto" w:fill="EBECEC"/>
          </w:tcPr>
          <w:p>
            <w:pPr>
              <w:jc w:val="right"/>
              <w:ind w:right="4"/>
              <w:spacing w:after="0"/>
              <w:rPr>
                <w:sz w:val="20"/>
                <w:szCs w:val="20"/>
                <w:color w:val="auto"/>
              </w:rPr>
            </w:pPr>
            <w:r>
              <w:rPr>
                <w:rFonts w:ascii="Arial" w:cs="Arial" w:eastAsia="Arial" w:hAnsi="Arial"/>
                <w:sz w:val="20"/>
                <w:szCs w:val="20"/>
                <w:color w:val="231F20"/>
              </w:rPr>
              <w:t>4,186</w:t>
            </w:r>
          </w:p>
        </w:tc>
        <w:tc>
          <w:tcPr>
            <w:tcW w:w="180" w:type="dxa"/>
            <w:vAlign w:val="bottom"/>
            <w:shd w:val="clear" w:color="auto" w:fill="EBECEC"/>
          </w:tcPr>
          <w:p>
            <w:pPr>
              <w:spacing w:after="0"/>
              <w:rPr>
                <w:sz w:val="20"/>
                <w:szCs w:val="20"/>
                <w:color w:val="auto"/>
              </w:rPr>
            </w:pPr>
          </w:p>
        </w:tc>
        <w:tc>
          <w:tcPr>
            <w:tcW w:w="480" w:type="dxa"/>
            <w:vAlign w:val="bottom"/>
            <w:shd w:val="clear" w:color="auto" w:fill="EBECEC"/>
          </w:tcPr>
          <w:p>
            <w:pPr>
              <w:spacing w:after="0"/>
              <w:rPr>
                <w:sz w:val="20"/>
                <w:szCs w:val="20"/>
                <w:color w:val="auto"/>
              </w:rPr>
            </w:pPr>
          </w:p>
        </w:tc>
        <w:tc>
          <w:tcPr>
            <w:tcW w:w="114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4,324</w:t>
            </w:r>
          </w:p>
        </w:tc>
      </w:tr>
      <w:tr>
        <w:trPr>
          <w:trHeight w:val="230"/>
        </w:trPr>
        <w:tc>
          <w:tcPr>
            <w:tcW w:w="5260" w:type="dxa"/>
            <w:vAlign w:val="bottom"/>
            <w:tcBorders>
              <w:bottom w:val="single" w:sz="8" w:color="EBECEC"/>
            </w:tcBorders>
          </w:tcPr>
          <w:p>
            <w:pPr>
              <w:ind w:left="280"/>
              <w:spacing w:after="0"/>
              <w:rPr>
                <w:sz w:val="20"/>
                <w:szCs w:val="20"/>
                <w:color w:val="auto"/>
              </w:rPr>
            </w:pPr>
            <w:r>
              <w:rPr>
                <w:rFonts w:ascii="Arial" w:cs="Arial" w:eastAsia="Arial" w:hAnsi="Arial"/>
                <w:sz w:val="20"/>
                <w:szCs w:val="20"/>
                <w:color w:val="231F20"/>
              </w:rPr>
              <w:t>Other</w:t>
            </w:r>
          </w:p>
        </w:tc>
        <w:tc>
          <w:tcPr>
            <w:tcW w:w="2100" w:type="dxa"/>
            <w:vAlign w:val="bottom"/>
            <w:tcBorders>
              <w:bottom w:val="single" w:sz="8" w:color="EBECEC"/>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300" w:type="dxa"/>
            <w:vAlign w:val="bottom"/>
            <w:tcBorders>
              <w:bottom w:val="single" w:sz="8" w:color="231F20"/>
            </w:tcBorders>
          </w:tcPr>
          <w:p>
            <w:pPr>
              <w:jc w:val="right"/>
              <w:ind w:right="4"/>
              <w:spacing w:after="0"/>
              <w:rPr>
                <w:sz w:val="20"/>
                <w:szCs w:val="20"/>
                <w:color w:val="auto"/>
              </w:rPr>
            </w:pPr>
            <w:r>
              <w:rPr>
                <w:rFonts w:ascii="Arial" w:cs="Arial" w:eastAsia="Arial" w:hAnsi="Arial"/>
                <w:sz w:val="20"/>
                <w:szCs w:val="20"/>
                <w:color w:val="231F20"/>
              </w:rPr>
              <w:t>228</w:t>
            </w:r>
          </w:p>
        </w:tc>
        <w:tc>
          <w:tcPr>
            <w:tcW w:w="180" w:type="dxa"/>
            <w:vAlign w:val="bottom"/>
            <w:tcBorders>
              <w:bottom w:val="single" w:sz="8" w:color="EBECEC"/>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w:t>
            </w:r>
          </w:p>
        </w:tc>
      </w:tr>
      <w:tr>
        <w:trPr>
          <w:trHeight w:val="225"/>
        </w:trPr>
        <w:tc>
          <w:tcPr>
            <w:tcW w:w="5260" w:type="dxa"/>
            <w:vAlign w:val="bottom"/>
            <w:shd w:val="clear" w:color="auto" w:fill="EBECEC"/>
          </w:tcPr>
          <w:p>
            <w:pPr>
              <w:ind w:left="280"/>
              <w:spacing w:after="0" w:line="225" w:lineRule="exact"/>
              <w:rPr>
                <w:sz w:val="20"/>
                <w:szCs w:val="20"/>
                <w:color w:val="auto"/>
              </w:rPr>
            </w:pPr>
            <w:r>
              <w:rPr>
                <w:rFonts w:ascii="Arial" w:cs="Arial" w:eastAsia="Arial" w:hAnsi="Arial"/>
                <w:sz w:val="20"/>
                <w:szCs w:val="20"/>
                <w:color w:val="231F20"/>
              </w:rPr>
              <w:t>Gross deferred tax assets</w:t>
            </w:r>
          </w:p>
        </w:tc>
        <w:tc>
          <w:tcPr>
            <w:tcW w:w="2100" w:type="dxa"/>
            <w:vAlign w:val="bottom"/>
            <w:shd w:val="clear" w:color="auto" w:fill="EBECEC"/>
          </w:tcPr>
          <w:p>
            <w:pPr>
              <w:spacing w:after="0"/>
              <w:rPr>
                <w:sz w:val="19"/>
                <w:szCs w:val="19"/>
                <w:color w:val="auto"/>
              </w:rPr>
            </w:pPr>
          </w:p>
        </w:tc>
        <w:tc>
          <w:tcPr>
            <w:tcW w:w="340" w:type="dxa"/>
            <w:vAlign w:val="bottom"/>
            <w:shd w:val="clear" w:color="auto" w:fill="EBECEC"/>
          </w:tcPr>
          <w:p>
            <w:pPr>
              <w:spacing w:after="0"/>
              <w:rPr>
                <w:sz w:val="19"/>
                <w:szCs w:val="19"/>
                <w:color w:val="auto"/>
              </w:rPr>
            </w:pPr>
          </w:p>
        </w:tc>
        <w:tc>
          <w:tcPr>
            <w:tcW w:w="1300" w:type="dxa"/>
            <w:vAlign w:val="bottom"/>
            <w:shd w:val="clear" w:color="auto" w:fill="EBECEC"/>
          </w:tcPr>
          <w:p>
            <w:pPr>
              <w:jc w:val="right"/>
              <w:ind w:right="4"/>
              <w:spacing w:after="0" w:line="225" w:lineRule="exact"/>
              <w:rPr>
                <w:sz w:val="20"/>
                <w:szCs w:val="20"/>
                <w:color w:val="auto"/>
              </w:rPr>
            </w:pPr>
            <w:r>
              <w:rPr>
                <w:rFonts w:ascii="Arial" w:cs="Arial" w:eastAsia="Arial" w:hAnsi="Arial"/>
                <w:sz w:val="20"/>
                <w:szCs w:val="20"/>
                <w:color w:val="231F20"/>
              </w:rPr>
              <w:t>55,746</w:t>
            </w:r>
          </w:p>
        </w:tc>
        <w:tc>
          <w:tcPr>
            <w:tcW w:w="180" w:type="dxa"/>
            <w:vAlign w:val="bottom"/>
            <w:shd w:val="clear" w:color="auto" w:fill="EBECEC"/>
          </w:tcPr>
          <w:p>
            <w:pPr>
              <w:spacing w:after="0"/>
              <w:rPr>
                <w:sz w:val="19"/>
                <w:szCs w:val="19"/>
                <w:color w:val="auto"/>
              </w:rPr>
            </w:pPr>
          </w:p>
        </w:tc>
        <w:tc>
          <w:tcPr>
            <w:tcW w:w="480" w:type="dxa"/>
            <w:vAlign w:val="bottom"/>
            <w:shd w:val="clear" w:color="auto" w:fill="EBECEC"/>
          </w:tcPr>
          <w:p>
            <w:pPr>
              <w:spacing w:after="0"/>
              <w:rPr>
                <w:sz w:val="19"/>
                <w:szCs w:val="19"/>
                <w:color w:val="auto"/>
              </w:rPr>
            </w:pPr>
          </w:p>
        </w:tc>
        <w:tc>
          <w:tcPr>
            <w:tcW w:w="1140" w:type="dxa"/>
            <w:vAlign w:val="bottom"/>
            <w:shd w:val="clear" w:color="auto" w:fill="EBECEC"/>
          </w:tcPr>
          <w:p>
            <w:pPr>
              <w:jc w:val="right"/>
              <w:spacing w:after="0" w:line="225" w:lineRule="exact"/>
              <w:rPr>
                <w:sz w:val="20"/>
                <w:szCs w:val="20"/>
                <w:color w:val="auto"/>
              </w:rPr>
            </w:pPr>
            <w:r>
              <w:rPr>
                <w:rFonts w:ascii="Arial" w:cs="Arial" w:eastAsia="Arial" w:hAnsi="Arial"/>
                <w:sz w:val="20"/>
                <w:szCs w:val="20"/>
                <w:color w:val="231F20"/>
              </w:rPr>
              <w:t>58,107</w:t>
            </w:r>
          </w:p>
        </w:tc>
      </w:tr>
      <w:tr>
        <w:trPr>
          <w:trHeight w:val="230"/>
        </w:trPr>
        <w:tc>
          <w:tcPr>
            <w:tcW w:w="5260" w:type="dxa"/>
            <w:vAlign w:val="bottom"/>
            <w:tcBorders>
              <w:bottom w:val="single" w:sz="8" w:color="EBECEC"/>
            </w:tcBorders>
          </w:tcPr>
          <w:p>
            <w:pPr>
              <w:ind w:left="280"/>
              <w:spacing w:after="0"/>
              <w:rPr>
                <w:sz w:val="20"/>
                <w:szCs w:val="20"/>
                <w:color w:val="auto"/>
              </w:rPr>
            </w:pPr>
            <w:r>
              <w:rPr>
                <w:rFonts w:ascii="Arial" w:cs="Arial" w:eastAsia="Arial" w:hAnsi="Arial"/>
                <w:sz w:val="20"/>
                <w:szCs w:val="20"/>
                <w:color w:val="231F20"/>
              </w:rPr>
              <w:t>Valuation allowance</w:t>
            </w:r>
          </w:p>
        </w:tc>
        <w:tc>
          <w:tcPr>
            <w:tcW w:w="2100" w:type="dxa"/>
            <w:vAlign w:val="bottom"/>
            <w:tcBorders>
              <w:bottom w:val="single" w:sz="8" w:color="EBECEC"/>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3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(55,746)</w:t>
            </w:r>
          </w:p>
        </w:tc>
        <w:tc>
          <w:tcPr>
            <w:tcW w:w="180" w:type="dxa"/>
            <w:vAlign w:val="bottom"/>
            <w:tcBorders>
              <w:bottom w:val="single" w:sz="8" w:color="EBECEC"/>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(58,107)</w:t>
            </w:r>
          </w:p>
        </w:tc>
      </w:tr>
      <w:tr>
        <w:trPr>
          <w:trHeight w:val="245"/>
        </w:trPr>
        <w:tc>
          <w:tcPr>
            <w:tcW w:w="5260" w:type="dxa"/>
            <w:vAlign w:val="bottom"/>
            <w:tcBorders>
              <w:bottom w:val="single" w:sz="8" w:color="EBECEC"/>
            </w:tcBorders>
            <w:shd w:val="clear" w:color="auto" w:fill="EBECEC"/>
          </w:tcPr>
          <w:p>
            <w:pPr>
              <w:spacing w:after="0" w:line="225" w:lineRule="exact"/>
              <w:rPr>
                <w:sz w:val="20"/>
                <w:szCs w:val="20"/>
                <w:color w:val="auto"/>
              </w:rPr>
            </w:pPr>
            <w:r>
              <w:rPr>
                <w:rFonts w:ascii="Arial" w:cs="Arial" w:eastAsia="Arial" w:hAnsi="Arial"/>
                <w:sz w:val="20"/>
                <w:szCs w:val="20"/>
                <w:b w:val="1"/>
                <w:bCs w:val="1"/>
                <w:color w:val="231F20"/>
              </w:rPr>
              <w:t>Net deferred tax assets</w:t>
            </w:r>
          </w:p>
        </w:tc>
        <w:tc>
          <w:tcPr>
            <w:tcW w:w="2100" w:type="dxa"/>
            <w:vAlign w:val="bottom"/>
            <w:tcBorders>
              <w:bottom w:val="single" w:sz="8" w:color="EBECEC"/>
            </w:tcBorders>
            <w:shd w:val="clear" w:color="auto" w:fill="EBECEC"/>
          </w:tcPr>
          <w:p>
            <w:pPr>
              <w:spacing w:after="0"/>
              <w:rPr>
                <w:sz w:val="21"/>
                <w:szCs w:val="21"/>
                <w:color w:val="auto"/>
              </w:rPr>
            </w:pPr>
          </w:p>
        </w:tc>
        <w:tc>
          <w:tcPr>
            <w:tcW w:w="340" w:type="dxa"/>
            <w:vAlign w:val="bottom"/>
            <w:tcBorders>
              <w:bottom w:val="single" w:sz="8" w:color="231F20"/>
            </w:tcBorders>
            <w:shd w:val="clear" w:color="auto" w:fill="EBECEC"/>
          </w:tcPr>
          <w:p>
            <w:pPr>
              <w:jc w:val="right"/>
              <w:ind w:right="140"/>
              <w:spacing w:after="0" w:line="225" w:lineRule="exact"/>
              <w:rPr>
                <w:sz w:val="20"/>
                <w:szCs w:val="20"/>
                <w:color w:val="auto"/>
              </w:rPr>
            </w:pPr>
            <w:r>
              <w:rPr>
                <w:rFonts w:ascii="Arial" w:cs="Arial" w:eastAsia="Arial" w:hAnsi="Arial"/>
                <w:sz w:val="20"/>
                <w:szCs w:val="20"/>
                <w:color w:val="231F20"/>
                <w:w w:val="71"/>
              </w:rPr>
              <w:t>$</w:t>
            </w:r>
          </w:p>
        </w:tc>
        <w:tc>
          <w:tcPr>
            <w:tcW w:w="1300" w:type="dxa"/>
            <w:vAlign w:val="bottom"/>
            <w:tcBorders>
              <w:bottom w:val="single" w:sz="8" w:color="231F20"/>
            </w:tcBorders>
            <w:shd w:val="clear" w:color="auto" w:fill="EBECEC"/>
          </w:tcPr>
          <w:p>
            <w:pPr>
              <w:jc w:val="right"/>
              <w:ind w:right="4"/>
              <w:spacing w:after="0" w:line="225" w:lineRule="exact"/>
              <w:rPr>
                <w:sz w:val="20"/>
                <w:szCs w:val="20"/>
                <w:color w:val="auto"/>
              </w:rPr>
            </w:pPr>
            <w:r>
              <w:rPr>
                <w:rFonts w:ascii="Arial" w:cs="Arial" w:eastAsia="Arial" w:hAnsi="Arial"/>
                <w:sz w:val="20"/>
                <w:szCs w:val="20"/>
                <w:color w:val="231F20"/>
              </w:rPr>
              <w:t>—</w:t>
            </w:r>
          </w:p>
        </w:tc>
        <w:tc>
          <w:tcPr>
            <w:tcW w:w="180" w:type="dxa"/>
            <w:vAlign w:val="bottom"/>
            <w:tcBorders>
              <w:bottom w:val="single" w:sz="8" w:color="EBECEC"/>
            </w:tcBorders>
            <w:shd w:val="clear" w:color="auto" w:fill="EBECEC"/>
          </w:tcPr>
          <w:p>
            <w:pPr>
              <w:spacing w:after="0"/>
              <w:rPr>
                <w:sz w:val="21"/>
                <w:szCs w:val="21"/>
                <w:color w:val="auto"/>
              </w:rPr>
            </w:pPr>
          </w:p>
        </w:tc>
        <w:tc>
          <w:tcPr>
            <w:tcW w:w="480" w:type="dxa"/>
            <w:vAlign w:val="bottom"/>
            <w:tcBorders>
              <w:bottom w:val="single" w:sz="8" w:color="231F20"/>
            </w:tcBorders>
            <w:shd w:val="clear" w:color="auto" w:fill="EBECEC"/>
          </w:tcPr>
          <w:p>
            <w:pPr>
              <w:jc w:val="right"/>
              <w:ind w:right="280"/>
              <w:spacing w:after="0" w:line="225" w:lineRule="exact"/>
              <w:rPr>
                <w:sz w:val="20"/>
                <w:szCs w:val="20"/>
                <w:color w:val="auto"/>
              </w:rPr>
            </w:pPr>
            <w:r>
              <w:rPr>
                <w:rFonts w:ascii="Arial" w:cs="Arial" w:eastAsia="Arial" w:hAnsi="Arial"/>
                <w:sz w:val="20"/>
                <w:szCs w:val="20"/>
                <w:color w:val="231F20"/>
                <w:w w:val="71"/>
              </w:rPr>
              <w:t>$</w:t>
            </w:r>
          </w:p>
        </w:tc>
        <w:tc>
          <w:tcPr>
            <w:tcW w:w="1140" w:type="dxa"/>
            <w:vAlign w:val="bottom"/>
            <w:tcBorders>
              <w:bottom w:val="single" w:sz="8" w:color="231F20"/>
            </w:tcBorders>
            <w:shd w:val="clear" w:color="auto" w:fill="EBECEC"/>
          </w:tcPr>
          <w:p>
            <w:pPr>
              <w:jc w:val="right"/>
              <w:spacing w:after="0" w:line="225" w:lineRule="exact"/>
              <w:rPr>
                <w:sz w:val="20"/>
                <w:szCs w:val="20"/>
                <w:color w:val="auto"/>
              </w:rPr>
            </w:pPr>
            <w:r>
              <w:rPr>
                <w:rFonts w:ascii="Arial" w:cs="Arial" w:eastAsia="Arial" w:hAnsi="Arial"/>
                <w:sz w:val="20"/>
                <w:szCs w:val="20"/>
                <w:color w:val="231F20"/>
              </w:rPr>
              <w:t>—</w:t>
            </w:r>
          </w:p>
        </w:tc>
      </w:tr>
      <w:tr>
        <w:trPr>
          <w:trHeight w:val="20"/>
        </w:trPr>
        <w:tc>
          <w:tcPr>
            <w:tcW w:w="5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r>
    </w:tbl>
    <w:p>
      <w:pPr>
        <w:spacing w:after="0" w:line="221"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color w:val="231F20"/>
        </w:rPr>
        <w:t>As of December 31, 2025, the Company had $127.4 million of federal and $126.5 million of state net operating loss available to offset future taxable income. The federal net operating loss carryforwards do not expire. The state net operating loss carryforwards begin to expire in 2037. The Company also has federal and California state research and development credits of $7.6 million and $2.6 million, respectively. The federal tax credit carryforwards will expire in 2041 if not utilized. The state tax credit carryforwards do not expire.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F-24</w:t>
      </w:r>
    </w:p>
    <w:p>
      <w:pPr>
        <w:sectPr>
          <w:pgSz w:w="11880" w:h="15480" w:orient="portrait"/>
          <w:cols w:equalWidth="0" w:num="1">
            <w:col w:w="10800"/>
          </w:cols>
          <w:pgMar w:left="540" w:top="756" w:right="540" w:bottom="0" w:gutter="0" w:footer="0" w:header="0"/>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0" w:lineRule="exact"/>
        <w:rPr>
          <w:sz w:val="20"/>
          <w:szCs w:val="20"/>
          <w:color w:val="auto"/>
        </w:rPr>
      </w:pPr>
    </w:p>
    <w:p>
      <w:pPr>
        <w:ind w:right="480" w:firstLine="490"/>
        <w:spacing w:after="0" w:line="282" w:lineRule="auto"/>
        <w:rPr>
          <w:sz w:val="20"/>
          <w:szCs w:val="20"/>
          <w:color w:val="auto"/>
        </w:rPr>
      </w:pPr>
      <w:r>
        <w:rPr>
          <w:rFonts w:ascii="Arial" w:cs="Arial" w:eastAsia="Arial" w:hAnsi="Arial"/>
          <w:sz w:val="20"/>
          <w:szCs w:val="20"/>
          <w:color w:val="231F20"/>
        </w:rPr>
        <w:t>Utilization of the net operating loss carryforwards is subject to an annual limitation due to the ownership change limitations provided by the Internal Revenue Code of 1986, as amended, and similar state provisions.</w:t>
      </w:r>
    </w:p>
    <w:p>
      <w:pPr>
        <w:spacing w:after="0" w:line="160" w:lineRule="exact"/>
        <w:rPr>
          <w:sz w:val="20"/>
          <w:szCs w:val="20"/>
          <w:color w:val="auto"/>
        </w:rPr>
      </w:pPr>
    </w:p>
    <w:p>
      <w:pPr>
        <w:jc w:val="both"/>
        <w:ind w:right="40" w:firstLine="490"/>
        <w:spacing w:after="0" w:line="254" w:lineRule="auto"/>
        <w:rPr>
          <w:sz w:val="20"/>
          <w:szCs w:val="20"/>
          <w:color w:val="auto"/>
        </w:rPr>
      </w:pPr>
      <w:r>
        <w:rPr>
          <w:rFonts w:ascii="Arial" w:cs="Arial" w:eastAsia="Arial" w:hAnsi="Arial"/>
          <w:sz w:val="20"/>
          <w:szCs w:val="20"/>
          <w:color w:val="231F20"/>
        </w:rPr>
        <w:t>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The Company is not currently in a taxable position and no net operating loss carryforwards or credits have been used to date.</w:t>
      </w:r>
    </w:p>
    <w:p>
      <w:pPr>
        <w:spacing w:after="0" w:line="186" w:lineRule="exact"/>
        <w:rPr>
          <w:sz w:val="20"/>
          <w:szCs w:val="20"/>
          <w:color w:val="auto"/>
        </w:rPr>
      </w:pPr>
    </w:p>
    <w:p>
      <w:pPr>
        <w:ind w:right="220" w:firstLine="490"/>
        <w:spacing w:after="0" w:line="248" w:lineRule="auto"/>
        <w:rPr>
          <w:sz w:val="20"/>
          <w:szCs w:val="20"/>
          <w:color w:val="auto"/>
        </w:rPr>
      </w:pPr>
      <w:r>
        <w:rPr>
          <w:rFonts w:ascii="Arial" w:cs="Arial" w:eastAsia="Arial" w:hAnsi="Arial"/>
          <w:sz w:val="20"/>
          <w:szCs w:val="20"/>
          <w:color w:val="231F20"/>
        </w:rPr>
        <w:t>As of December 31, 2025 and 2024, the Company has unrecognized tax benefits of $10.5 million and $2.1 million, respectively. As of December 31, 2025, the total amount of unrecognized tax benefits would not affect the effective tax rate, if recognized, due to the valuation allowance that currently offsets deferred tax assets. The Company does not expect the unrecognized tax benefits to change significantly over the next 12 months. A reconciliation of the beginning and ending amount of unrecognized tax benefits for the years ended December 31, 2025 and 2024 was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3040" w:type="dxa"/>
            <w:vAlign w:val="bottom"/>
            <w:tcBorders>
              <w:bottom w:val="single" w:sz="8" w:color="231F20"/>
            </w:tcBorders>
            <w:gridSpan w:val="4"/>
          </w:tcPr>
          <w:p>
            <w:pPr>
              <w:jc w:val="right"/>
              <w:ind w:right="624"/>
              <w:spacing w:after="0"/>
              <w:rPr>
                <w:sz w:val="20"/>
                <w:szCs w:val="20"/>
                <w:color w:val="auto"/>
              </w:rPr>
            </w:pPr>
            <w:r>
              <w:rPr>
                <w:rFonts w:ascii="Arial" w:cs="Arial" w:eastAsia="Arial" w:hAnsi="Arial"/>
                <w:sz w:val="16"/>
                <w:szCs w:val="16"/>
                <w:b w:val="1"/>
                <w:bCs w:val="1"/>
                <w:color w:val="231F20"/>
              </w:rPr>
              <w:t>Year Ended December 31,</w:t>
            </w:r>
          </w:p>
        </w:tc>
        <w:tc>
          <w:tcPr>
            <w:tcW w:w="80" w:type="dxa"/>
            <w:vAlign w:val="bottom"/>
          </w:tcPr>
          <w:p>
            <w:pPr>
              <w:spacing w:after="0"/>
              <w:rPr>
                <w:sz w:val="17"/>
                <w:szCs w:val="17"/>
                <w:color w:val="auto"/>
              </w:rPr>
            </w:pPr>
          </w:p>
        </w:tc>
      </w:tr>
      <w:tr>
        <w:trPr>
          <w:trHeight w:val="193"/>
        </w:trPr>
        <w:tc>
          <w:tcPr>
            <w:tcW w:w="5640" w:type="dxa"/>
            <w:vAlign w:val="bottom"/>
            <w:tcBorders>
              <w:bottom w:val="single" w:sz="8" w:color="EBECEC"/>
            </w:tcBorders>
          </w:tcPr>
          <w:p>
            <w:pPr>
              <w:spacing w:after="0"/>
              <w:rPr>
                <w:sz w:val="16"/>
                <w:szCs w:val="16"/>
                <w:color w:val="auto"/>
              </w:rPr>
            </w:pPr>
          </w:p>
        </w:tc>
        <w:tc>
          <w:tcPr>
            <w:tcW w:w="1680" w:type="dxa"/>
            <w:vAlign w:val="bottom"/>
            <w:tcBorders>
              <w:bottom w:val="single" w:sz="8" w:color="EBECEC"/>
            </w:tcBorders>
          </w:tcPr>
          <w:p>
            <w:pPr>
              <w:spacing w:after="0"/>
              <w:rPr>
                <w:sz w:val="16"/>
                <w:szCs w:val="16"/>
                <w:color w:val="auto"/>
              </w:rPr>
            </w:pPr>
          </w:p>
        </w:tc>
        <w:tc>
          <w:tcPr>
            <w:tcW w:w="20" w:type="dxa"/>
            <w:vAlign w:val="bottom"/>
            <w:tcBorders>
              <w:bottom w:val="single" w:sz="8" w:color="EBECEC"/>
            </w:tcBorders>
          </w:tcPr>
          <w:p>
            <w:pPr>
              <w:spacing w:after="0"/>
              <w:rPr>
                <w:sz w:val="16"/>
                <w:szCs w:val="16"/>
                <w:color w:val="auto"/>
              </w:rPr>
            </w:pPr>
          </w:p>
        </w:tc>
        <w:tc>
          <w:tcPr>
            <w:tcW w:w="340" w:type="dxa"/>
            <w:vAlign w:val="bottom"/>
            <w:tcBorders>
              <w:bottom w:val="single" w:sz="8" w:color="231F20"/>
            </w:tcBorders>
          </w:tcPr>
          <w:p>
            <w:pPr>
              <w:spacing w:after="0"/>
              <w:rPr>
                <w:sz w:val="16"/>
                <w:szCs w:val="16"/>
                <w:color w:val="auto"/>
              </w:rPr>
            </w:pPr>
          </w:p>
        </w:tc>
        <w:tc>
          <w:tcPr>
            <w:tcW w:w="1200" w:type="dxa"/>
            <w:vAlign w:val="bottom"/>
            <w:tcBorders>
              <w:bottom w:val="single" w:sz="8" w:color="231F20"/>
            </w:tcBorders>
          </w:tcPr>
          <w:p>
            <w:pPr>
              <w:jc w:val="right"/>
              <w:ind w:right="507"/>
              <w:spacing w:after="0"/>
              <w:rPr>
                <w:sz w:val="20"/>
                <w:szCs w:val="20"/>
                <w:color w:val="auto"/>
              </w:rPr>
            </w:pPr>
            <w:r>
              <w:rPr>
                <w:rFonts w:ascii="Arial" w:cs="Arial" w:eastAsia="Arial" w:hAnsi="Arial"/>
                <w:sz w:val="16"/>
                <w:szCs w:val="16"/>
                <w:b w:val="1"/>
                <w:bCs w:val="1"/>
                <w:color w:val="231F20"/>
              </w:rPr>
              <w:t>2025</w:t>
            </w:r>
          </w:p>
        </w:tc>
        <w:tc>
          <w:tcPr>
            <w:tcW w:w="300" w:type="dxa"/>
            <w:vAlign w:val="bottom"/>
            <w:tcBorders>
              <w:bottom w:val="single" w:sz="8" w:color="EBECEC"/>
            </w:tcBorders>
          </w:tcPr>
          <w:p>
            <w:pPr>
              <w:spacing w:after="0"/>
              <w:rPr>
                <w:sz w:val="16"/>
                <w:szCs w:val="16"/>
                <w:color w:val="auto"/>
              </w:rPr>
            </w:pPr>
          </w:p>
        </w:tc>
        <w:tc>
          <w:tcPr>
            <w:tcW w:w="340" w:type="dxa"/>
            <w:vAlign w:val="bottom"/>
            <w:tcBorders>
              <w:bottom w:val="single" w:sz="8" w:color="231F20"/>
            </w:tcBorders>
          </w:tcPr>
          <w:p>
            <w:pPr>
              <w:spacing w:after="0"/>
              <w:rPr>
                <w:sz w:val="16"/>
                <w:szCs w:val="16"/>
                <w:color w:val="auto"/>
              </w:rPr>
            </w:pPr>
          </w:p>
        </w:tc>
        <w:tc>
          <w:tcPr>
            <w:tcW w:w="1200" w:type="dxa"/>
            <w:vAlign w:val="bottom"/>
            <w:tcBorders>
              <w:bottom w:val="single" w:sz="8" w:color="231F20"/>
            </w:tcBorders>
          </w:tcPr>
          <w:p>
            <w:pPr>
              <w:jc w:val="right"/>
              <w:ind w:right="504"/>
              <w:spacing w:after="0"/>
              <w:rPr>
                <w:sz w:val="20"/>
                <w:szCs w:val="20"/>
                <w:color w:val="auto"/>
              </w:rPr>
            </w:pPr>
            <w:r>
              <w:rPr>
                <w:rFonts w:ascii="Arial" w:cs="Arial" w:eastAsia="Arial" w:hAnsi="Arial"/>
                <w:sz w:val="16"/>
                <w:szCs w:val="16"/>
                <w:b w:val="1"/>
                <w:bCs w:val="1"/>
                <w:color w:val="231F20"/>
              </w:rPr>
              <w:t>2024</w:t>
            </w:r>
          </w:p>
        </w:tc>
        <w:tc>
          <w:tcPr>
            <w:tcW w:w="80" w:type="dxa"/>
            <w:vAlign w:val="bottom"/>
            <w:tcBorders>
              <w:bottom w:val="single" w:sz="8" w:color="EBECEC"/>
            </w:tcBorders>
          </w:tcPr>
          <w:p>
            <w:pPr>
              <w:spacing w:after="0"/>
              <w:rPr>
                <w:sz w:val="16"/>
                <w:szCs w:val="16"/>
                <w:color w:val="auto"/>
              </w:rPr>
            </w:pPr>
          </w:p>
        </w:tc>
      </w:tr>
      <w:tr>
        <w:trPr>
          <w:trHeight w:val="239"/>
        </w:trPr>
        <w:tc>
          <w:tcPr>
            <w:tcW w:w="5640" w:type="dxa"/>
            <w:vAlign w:val="bottom"/>
            <w:shd w:val="clear" w:color="auto" w:fill="EBECEC"/>
          </w:tcPr>
          <w:p>
            <w:pPr>
              <w:spacing w:after="0"/>
              <w:rPr>
                <w:sz w:val="20"/>
                <w:szCs w:val="20"/>
                <w:color w:val="auto"/>
              </w:rPr>
            </w:pPr>
            <w:r>
              <w:rPr>
                <w:rFonts w:ascii="Arial" w:cs="Arial" w:eastAsia="Arial" w:hAnsi="Arial"/>
                <w:sz w:val="20"/>
                <w:szCs w:val="20"/>
                <w:color w:val="231F20"/>
              </w:rPr>
              <w:t>Balance at beginning of year</w:t>
            </w:r>
          </w:p>
        </w:tc>
        <w:tc>
          <w:tcPr>
            <w:tcW w:w="168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340" w:type="dxa"/>
            <w:vAlign w:val="bottom"/>
            <w:shd w:val="clear" w:color="auto" w:fill="EBECEC"/>
          </w:tcPr>
          <w:p>
            <w:pPr>
              <w:jc w:val="right"/>
              <w:ind w:right="140"/>
              <w:spacing w:after="0"/>
              <w:rPr>
                <w:sz w:val="20"/>
                <w:szCs w:val="20"/>
                <w:color w:val="auto"/>
              </w:rPr>
            </w:pPr>
            <w:r>
              <w:rPr>
                <w:rFonts w:ascii="Arial" w:cs="Arial" w:eastAsia="Arial" w:hAnsi="Arial"/>
                <w:sz w:val="20"/>
                <w:szCs w:val="20"/>
                <w:color w:val="231F20"/>
                <w:w w:val="71"/>
              </w:rPr>
              <w:t>$</w:t>
            </w:r>
          </w:p>
        </w:tc>
        <w:tc>
          <w:tcPr>
            <w:tcW w:w="12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2,083</w:t>
            </w:r>
          </w:p>
        </w:tc>
        <w:tc>
          <w:tcPr>
            <w:tcW w:w="300" w:type="dxa"/>
            <w:vAlign w:val="bottom"/>
            <w:shd w:val="clear" w:color="auto" w:fill="EBECEC"/>
          </w:tcPr>
          <w:p>
            <w:pPr>
              <w:spacing w:after="0"/>
              <w:rPr>
                <w:sz w:val="20"/>
                <w:szCs w:val="20"/>
                <w:color w:val="auto"/>
              </w:rPr>
            </w:pPr>
          </w:p>
        </w:tc>
        <w:tc>
          <w:tcPr>
            <w:tcW w:w="340" w:type="dxa"/>
            <w:vAlign w:val="bottom"/>
            <w:shd w:val="clear" w:color="auto" w:fill="EBECEC"/>
          </w:tcPr>
          <w:p>
            <w:pPr>
              <w:jc w:val="right"/>
              <w:ind w:right="140"/>
              <w:spacing w:after="0"/>
              <w:rPr>
                <w:sz w:val="20"/>
                <w:szCs w:val="20"/>
                <w:color w:val="auto"/>
              </w:rPr>
            </w:pPr>
            <w:r>
              <w:rPr>
                <w:rFonts w:ascii="Arial" w:cs="Arial" w:eastAsia="Arial" w:hAnsi="Arial"/>
                <w:sz w:val="20"/>
                <w:szCs w:val="20"/>
                <w:color w:val="231F20"/>
                <w:w w:val="71"/>
              </w:rPr>
              <w:t>$</w:t>
            </w:r>
          </w:p>
        </w:tc>
        <w:tc>
          <w:tcPr>
            <w:tcW w:w="120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1,461</w:t>
            </w:r>
          </w:p>
        </w:tc>
        <w:tc>
          <w:tcPr>
            <w:tcW w:w="80" w:type="dxa"/>
            <w:vAlign w:val="bottom"/>
            <w:shd w:val="clear" w:color="auto" w:fill="EBECEC"/>
          </w:tcPr>
          <w:p>
            <w:pPr>
              <w:spacing w:after="0"/>
              <w:rPr>
                <w:sz w:val="20"/>
                <w:szCs w:val="20"/>
                <w:color w:val="auto"/>
              </w:rPr>
            </w:pPr>
          </w:p>
        </w:tc>
      </w:tr>
      <w:tr>
        <w:trPr>
          <w:trHeight w:val="244"/>
        </w:trPr>
        <w:tc>
          <w:tcPr>
            <w:tcW w:w="5640" w:type="dxa"/>
            <w:vAlign w:val="bottom"/>
          </w:tcPr>
          <w:p>
            <w:pPr>
              <w:ind w:left="280"/>
              <w:spacing w:after="0"/>
              <w:rPr>
                <w:sz w:val="20"/>
                <w:szCs w:val="20"/>
                <w:color w:val="auto"/>
              </w:rPr>
            </w:pPr>
            <w:r>
              <w:rPr>
                <w:rFonts w:ascii="Arial" w:cs="Arial" w:eastAsia="Arial" w:hAnsi="Arial"/>
                <w:sz w:val="20"/>
                <w:szCs w:val="20"/>
                <w:color w:val="231F20"/>
              </w:rPr>
              <w:t>Additions related to prior year positions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231F20"/>
              </w:rPr>
              <w:t>8,200</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231F20"/>
              </w:rPr>
              <w:t>—</w:t>
            </w:r>
          </w:p>
        </w:tc>
        <w:tc>
          <w:tcPr>
            <w:tcW w:w="80" w:type="dxa"/>
            <w:vAlign w:val="bottom"/>
          </w:tcPr>
          <w:p>
            <w:pPr>
              <w:spacing w:after="0"/>
              <w:rPr>
                <w:sz w:val="21"/>
                <w:szCs w:val="21"/>
                <w:color w:val="auto"/>
              </w:rPr>
            </w:pPr>
          </w:p>
        </w:tc>
      </w:tr>
      <w:tr>
        <w:trPr>
          <w:trHeight w:val="244"/>
        </w:trPr>
        <w:tc>
          <w:tcPr>
            <w:tcW w:w="564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Additions related to current year positions</w:t>
            </w:r>
          </w:p>
        </w:tc>
        <w:tc>
          <w:tcPr>
            <w:tcW w:w="168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340" w:type="dxa"/>
            <w:vAlign w:val="bottom"/>
            <w:tcBorders>
              <w:bottom w:val="single" w:sz="8" w:color="231F20"/>
            </w:tcBorders>
            <w:shd w:val="clear" w:color="auto" w:fill="EBECEC"/>
          </w:tcPr>
          <w:p>
            <w:pPr>
              <w:spacing w:after="0"/>
              <w:rPr>
                <w:sz w:val="21"/>
                <w:szCs w:val="21"/>
                <w:color w:val="auto"/>
              </w:rPr>
            </w:pPr>
          </w:p>
        </w:tc>
        <w:tc>
          <w:tcPr>
            <w:tcW w:w="120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249</w:t>
            </w:r>
          </w:p>
        </w:tc>
        <w:tc>
          <w:tcPr>
            <w:tcW w:w="300" w:type="dxa"/>
            <w:vAlign w:val="bottom"/>
            <w:shd w:val="clear" w:color="auto" w:fill="EBECEC"/>
          </w:tcPr>
          <w:p>
            <w:pPr>
              <w:spacing w:after="0"/>
              <w:rPr>
                <w:sz w:val="21"/>
                <w:szCs w:val="21"/>
                <w:color w:val="auto"/>
              </w:rPr>
            </w:pPr>
          </w:p>
        </w:tc>
        <w:tc>
          <w:tcPr>
            <w:tcW w:w="340" w:type="dxa"/>
            <w:vAlign w:val="bottom"/>
            <w:tcBorders>
              <w:bottom w:val="single" w:sz="8" w:color="231F20"/>
            </w:tcBorders>
            <w:shd w:val="clear" w:color="auto" w:fill="EBECEC"/>
          </w:tcPr>
          <w:p>
            <w:pPr>
              <w:spacing w:after="0"/>
              <w:rPr>
                <w:sz w:val="21"/>
                <w:szCs w:val="21"/>
                <w:color w:val="auto"/>
              </w:rPr>
            </w:pPr>
          </w:p>
        </w:tc>
        <w:tc>
          <w:tcPr>
            <w:tcW w:w="120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622</w:t>
            </w:r>
          </w:p>
        </w:tc>
        <w:tc>
          <w:tcPr>
            <w:tcW w:w="80" w:type="dxa"/>
            <w:vAlign w:val="bottom"/>
            <w:shd w:val="clear" w:color="auto" w:fill="EBECEC"/>
          </w:tcPr>
          <w:p>
            <w:pPr>
              <w:spacing w:after="0"/>
              <w:rPr>
                <w:sz w:val="21"/>
                <w:szCs w:val="21"/>
                <w:color w:val="auto"/>
              </w:rPr>
            </w:pPr>
          </w:p>
        </w:tc>
      </w:tr>
      <w:tr>
        <w:trPr>
          <w:trHeight w:val="239"/>
        </w:trPr>
        <w:tc>
          <w:tcPr>
            <w:tcW w:w="5640" w:type="dxa"/>
            <w:vAlign w:val="bottom"/>
          </w:tcPr>
          <w:p>
            <w:pPr>
              <w:spacing w:after="0"/>
              <w:rPr>
                <w:sz w:val="20"/>
                <w:szCs w:val="20"/>
                <w:color w:val="auto"/>
              </w:rPr>
            </w:pPr>
            <w:r>
              <w:rPr>
                <w:rFonts w:ascii="Arial" w:cs="Arial" w:eastAsia="Arial" w:hAnsi="Arial"/>
                <w:sz w:val="20"/>
                <w:szCs w:val="20"/>
                <w:color w:val="231F20"/>
              </w:rPr>
              <w:t>Balance at end of year</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231F20"/>
            </w:tcBorders>
          </w:tcPr>
          <w:p>
            <w:pPr>
              <w:jc w:val="right"/>
              <w:ind w:right="140"/>
              <w:spacing w:after="0"/>
              <w:rPr>
                <w:sz w:val="20"/>
                <w:szCs w:val="20"/>
                <w:color w:val="auto"/>
              </w:rPr>
            </w:pPr>
            <w:r>
              <w:rPr>
                <w:rFonts w:ascii="Arial" w:cs="Arial" w:eastAsia="Arial" w:hAnsi="Arial"/>
                <w:sz w:val="20"/>
                <w:szCs w:val="20"/>
                <w:color w:val="231F20"/>
                <w:w w:val="71"/>
              </w:rPr>
              <w:t>$</w:t>
            </w:r>
          </w:p>
        </w:tc>
        <w:tc>
          <w:tcPr>
            <w:tcW w:w="12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10,532</w:t>
            </w:r>
          </w:p>
        </w:tc>
        <w:tc>
          <w:tcPr>
            <w:tcW w:w="300" w:type="dxa"/>
            <w:vAlign w:val="bottom"/>
          </w:tcPr>
          <w:p>
            <w:pPr>
              <w:spacing w:after="0"/>
              <w:rPr>
                <w:sz w:val="20"/>
                <w:szCs w:val="20"/>
                <w:color w:val="auto"/>
              </w:rPr>
            </w:pPr>
          </w:p>
        </w:tc>
        <w:tc>
          <w:tcPr>
            <w:tcW w:w="340" w:type="dxa"/>
            <w:vAlign w:val="bottom"/>
            <w:tcBorders>
              <w:bottom w:val="single" w:sz="8" w:color="231F20"/>
            </w:tcBorders>
          </w:tcPr>
          <w:p>
            <w:pPr>
              <w:jc w:val="right"/>
              <w:ind w:right="140"/>
              <w:spacing w:after="0"/>
              <w:rPr>
                <w:sz w:val="20"/>
                <w:szCs w:val="20"/>
                <w:color w:val="auto"/>
              </w:rPr>
            </w:pPr>
            <w:r>
              <w:rPr>
                <w:rFonts w:ascii="Arial" w:cs="Arial" w:eastAsia="Arial" w:hAnsi="Arial"/>
                <w:sz w:val="20"/>
                <w:szCs w:val="20"/>
                <w:color w:val="231F20"/>
                <w:w w:val="71"/>
              </w:rPr>
              <w:t>$</w:t>
            </w:r>
          </w:p>
        </w:tc>
        <w:tc>
          <w:tcPr>
            <w:tcW w:w="12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2,083</w:t>
            </w:r>
          </w:p>
        </w:tc>
        <w:tc>
          <w:tcPr>
            <w:tcW w:w="80" w:type="dxa"/>
            <w:vAlign w:val="bottom"/>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20" w:firstLine="490"/>
        <w:spacing w:after="0" w:line="261" w:lineRule="auto"/>
        <w:rPr>
          <w:sz w:val="20"/>
          <w:szCs w:val="20"/>
          <w:color w:val="auto"/>
        </w:rPr>
      </w:pPr>
      <w:r>
        <w:rPr>
          <w:rFonts w:ascii="Arial" w:cs="Arial" w:eastAsia="Arial" w:hAnsi="Arial"/>
          <w:sz w:val="20"/>
          <w:szCs w:val="20"/>
          <w:color w:val="231F20"/>
        </w:rPr>
        <w:t>The Company recognizes interest and penalties related to unrecognized tax benefits within the income tax expense line in the statements of operations. Accrued interest and penalties are included within the related tax liability line in the balance sheet. No accrued interest and penalties have been recorded through December 31, 2025.</w:t>
      </w:r>
    </w:p>
    <w:p>
      <w:pPr>
        <w:spacing w:after="0" w:line="180" w:lineRule="exact"/>
        <w:rPr>
          <w:sz w:val="20"/>
          <w:szCs w:val="20"/>
          <w:color w:val="auto"/>
        </w:rPr>
      </w:pPr>
    </w:p>
    <w:p>
      <w:pPr>
        <w:ind w:right="440" w:firstLine="490"/>
        <w:spacing w:after="0" w:line="254" w:lineRule="auto"/>
        <w:rPr>
          <w:sz w:val="20"/>
          <w:szCs w:val="20"/>
          <w:color w:val="auto"/>
        </w:rPr>
      </w:pPr>
      <w:r>
        <w:rPr>
          <w:rFonts w:ascii="Arial" w:cs="Arial" w:eastAsia="Arial" w:hAnsi="Arial"/>
          <w:sz w:val="20"/>
          <w:szCs w:val="20"/>
          <w:color w:val="231F20"/>
        </w:rPr>
        <w:t>The Company files income tax returns in the U.S. federal jurisdiction and California, Illinois, New York, South Carolina and Virginia state jurisdictions. The Company is not currently under audit by the Internal Revenue Service or other similar state or local authorities. Carryover attributes beginning December 31, 2022 and December 31, 2021, respectively, remain open to adjustment by the U.S. and state taxing authorities to which the Company is subject.</w:t>
      </w:r>
    </w:p>
    <w:p>
      <w:pPr>
        <w:spacing w:after="0" w:line="186" w:lineRule="exact"/>
        <w:rPr>
          <w:sz w:val="20"/>
          <w:szCs w:val="20"/>
          <w:color w:val="auto"/>
        </w:rPr>
      </w:pPr>
    </w:p>
    <w:p>
      <w:pPr>
        <w:ind w:right="160" w:firstLine="490"/>
        <w:spacing w:after="0" w:line="282" w:lineRule="auto"/>
        <w:rPr>
          <w:sz w:val="20"/>
          <w:szCs w:val="20"/>
          <w:color w:val="auto"/>
        </w:rPr>
      </w:pPr>
      <w:r>
        <w:rPr>
          <w:rFonts w:ascii="Arial" w:cs="Arial" w:eastAsia="Arial" w:hAnsi="Arial"/>
          <w:sz w:val="20"/>
          <w:szCs w:val="20"/>
          <w:color w:val="231F20"/>
        </w:rPr>
        <w:t>The Company did not have any significant income taxes paid or refunds received from any jurisdiction for the years ended December 31, 2025 or 2024.</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11. Net Loss Per Share</w:t>
      </w:r>
    </w:p>
    <w:p>
      <w:pPr>
        <w:spacing w:after="0" w:line="124" w:lineRule="exact"/>
        <w:rPr>
          <w:sz w:val="20"/>
          <w:szCs w:val="20"/>
          <w:color w:val="auto"/>
        </w:rPr>
      </w:pPr>
    </w:p>
    <w:p>
      <w:pPr>
        <w:ind w:right="280" w:firstLine="490"/>
        <w:spacing w:after="0" w:line="282" w:lineRule="auto"/>
        <w:rPr>
          <w:sz w:val="20"/>
          <w:szCs w:val="20"/>
          <w:color w:val="auto"/>
        </w:rPr>
      </w:pPr>
      <w:r>
        <w:rPr>
          <w:rFonts w:ascii="Arial" w:cs="Arial" w:eastAsia="Arial" w:hAnsi="Arial"/>
          <w:sz w:val="20"/>
          <w:szCs w:val="20"/>
          <w:color w:val="231F20"/>
        </w:rPr>
        <w:t>The following table sets forth the computation of the basic and diluted net loss per share (in thousands, except for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3140" w:type="dxa"/>
            <w:vAlign w:val="bottom"/>
            <w:tcBorders>
              <w:bottom w:val="single" w:sz="8" w:color="231F20"/>
            </w:tcBorders>
            <w:gridSpan w:val="5"/>
          </w:tcPr>
          <w:p>
            <w:pPr>
              <w:jc w:val="right"/>
              <w:ind w:right="705"/>
              <w:spacing w:after="0"/>
              <w:rPr>
                <w:sz w:val="20"/>
                <w:szCs w:val="20"/>
                <w:color w:val="auto"/>
              </w:rPr>
            </w:pPr>
            <w:r>
              <w:rPr>
                <w:rFonts w:ascii="Arial" w:cs="Arial" w:eastAsia="Arial" w:hAnsi="Arial"/>
                <w:sz w:val="16"/>
                <w:szCs w:val="16"/>
                <w:b w:val="1"/>
                <w:bCs w:val="1"/>
                <w:color w:val="231F20"/>
              </w:rPr>
              <w:t>Year Ended December 31,</w:t>
            </w:r>
          </w:p>
        </w:tc>
      </w:tr>
      <w:tr>
        <w:trPr>
          <w:trHeight w:val="193"/>
        </w:trPr>
        <w:tc>
          <w:tcPr>
            <w:tcW w:w="7240" w:type="dxa"/>
            <w:vAlign w:val="bottom"/>
            <w:tcBorders>
              <w:bottom w:val="single" w:sz="8" w:color="EBECEC"/>
            </w:tcBorders>
          </w:tcPr>
          <w:p>
            <w:pPr>
              <w:spacing w:after="0"/>
              <w:rPr>
                <w:sz w:val="16"/>
                <w:szCs w:val="16"/>
                <w:color w:val="auto"/>
              </w:rPr>
            </w:pPr>
          </w:p>
        </w:tc>
        <w:tc>
          <w:tcPr>
            <w:tcW w:w="100" w:type="dxa"/>
            <w:vAlign w:val="bottom"/>
            <w:tcBorders>
              <w:bottom w:val="single" w:sz="8" w:color="EBECEC"/>
            </w:tcBorders>
          </w:tcPr>
          <w:p>
            <w:pPr>
              <w:spacing w:after="0"/>
              <w:rPr>
                <w:sz w:val="16"/>
                <w:szCs w:val="16"/>
                <w:color w:val="auto"/>
              </w:rPr>
            </w:pPr>
          </w:p>
        </w:tc>
        <w:tc>
          <w:tcPr>
            <w:tcW w:w="32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ind w:right="608"/>
              <w:spacing w:after="0"/>
              <w:rPr>
                <w:sz w:val="20"/>
                <w:szCs w:val="20"/>
                <w:color w:val="auto"/>
              </w:rPr>
            </w:pPr>
            <w:r>
              <w:rPr>
                <w:rFonts w:ascii="Arial" w:cs="Arial" w:eastAsia="Arial" w:hAnsi="Arial"/>
                <w:sz w:val="16"/>
                <w:szCs w:val="16"/>
                <w:b w:val="1"/>
                <w:bCs w:val="1"/>
                <w:color w:val="231F20"/>
              </w:rPr>
              <w:t>2025</w:t>
            </w:r>
          </w:p>
        </w:tc>
        <w:tc>
          <w:tcPr>
            <w:tcW w:w="200" w:type="dxa"/>
            <w:vAlign w:val="bottom"/>
            <w:tcBorders>
              <w:bottom w:val="single" w:sz="8" w:color="EBECEC"/>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1300" w:type="dxa"/>
            <w:vAlign w:val="bottom"/>
            <w:tcBorders>
              <w:bottom w:val="single" w:sz="8" w:color="231F20"/>
            </w:tcBorders>
          </w:tcPr>
          <w:p>
            <w:pPr>
              <w:jc w:val="right"/>
              <w:ind w:right="585"/>
              <w:spacing w:after="0"/>
              <w:rPr>
                <w:sz w:val="20"/>
                <w:szCs w:val="20"/>
                <w:color w:val="auto"/>
              </w:rPr>
            </w:pPr>
            <w:r>
              <w:rPr>
                <w:rFonts w:ascii="Arial" w:cs="Arial" w:eastAsia="Arial" w:hAnsi="Arial"/>
                <w:sz w:val="16"/>
                <w:szCs w:val="16"/>
                <w:b w:val="1"/>
                <w:bCs w:val="1"/>
                <w:color w:val="231F20"/>
              </w:rPr>
              <w:t>2024</w:t>
            </w:r>
          </w:p>
        </w:tc>
      </w:tr>
      <w:tr>
        <w:trPr>
          <w:trHeight w:val="239"/>
        </w:trPr>
        <w:tc>
          <w:tcPr>
            <w:tcW w:w="7240" w:type="dxa"/>
            <w:vAlign w:val="bottom"/>
            <w:shd w:val="clear" w:color="auto" w:fill="EBECEC"/>
          </w:tcPr>
          <w:p>
            <w:pPr>
              <w:spacing w:after="0"/>
              <w:rPr>
                <w:sz w:val="20"/>
                <w:szCs w:val="20"/>
                <w:color w:val="auto"/>
              </w:rPr>
            </w:pPr>
            <w:r>
              <w:rPr>
                <w:rFonts w:ascii="Arial" w:cs="Arial" w:eastAsia="Arial" w:hAnsi="Arial"/>
                <w:sz w:val="20"/>
                <w:szCs w:val="20"/>
                <w:b w:val="1"/>
                <w:bCs w:val="1"/>
                <w:color w:val="231F20"/>
              </w:rPr>
              <w:t>Numerator:</w:t>
            </w:r>
          </w:p>
        </w:tc>
        <w:tc>
          <w:tcPr>
            <w:tcW w:w="100" w:type="dxa"/>
            <w:vAlign w:val="bottom"/>
            <w:shd w:val="clear" w:color="auto" w:fill="EBECEC"/>
          </w:tcPr>
          <w:p>
            <w:pPr>
              <w:spacing w:after="0"/>
              <w:rPr>
                <w:sz w:val="20"/>
                <w:szCs w:val="20"/>
                <w:color w:val="auto"/>
              </w:rPr>
            </w:pPr>
          </w:p>
        </w:tc>
        <w:tc>
          <w:tcPr>
            <w:tcW w:w="320" w:type="dxa"/>
            <w:vAlign w:val="bottom"/>
            <w:shd w:val="clear" w:color="auto" w:fill="EBECEC"/>
          </w:tcPr>
          <w:p>
            <w:pPr>
              <w:spacing w:after="0"/>
              <w:rPr>
                <w:sz w:val="20"/>
                <w:szCs w:val="20"/>
                <w:color w:val="auto"/>
              </w:rPr>
            </w:pPr>
          </w:p>
        </w:tc>
        <w:tc>
          <w:tcPr>
            <w:tcW w:w="132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300" w:type="dxa"/>
            <w:vAlign w:val="bottom"/>
            <w:shd w:val="clear" w:color="auto" w:fill="EBECEC"/>
          </w:tcPr>
          <w:p>
            <w:pPr>
              <w:spacing w:after="0"/>
              <w:rPr>
                <w:sz w:val="20"/>
                <w:szCs w:val="20"/>
                <w:color w:val="auto"/>
              </w:rPr>
            </w:pPr>
          </w:p>
        </w:tc>
        <w:tc>
          <w:tcPr>
            <w:tcW w:w="1300" w:type="dxa"/>
            <w:vAlign w:val="bottom"/>
            <w:shd w:val="clear" w:color="auto" w:fill="EBECEC"/>
          </w:tcPr>
          <w:p>
            <w:pPr>
              <w:spacing w:after="0"/>
              <w:rPr>
                <w:sz w:val="20"/>
                <w:szCs w:val="20"/>
                <w:color w:val="auto"/>
              </w:rPr>
            </w:pPr>
          </w:p>
        </w:tc>
      </w:tr>
      <w:tr>
        <w:trPr>
          <w:trHeight w:val="284"/>
        </w:trPr>
        <w:tc>
          <w:tcPr>
            <w:tcW w:w="7240" w:type="dxa"/>
            <w:vAlign w:val="bottom"/>
            <w:tcBorders>
              <w:bottom w:val="single" w:sz="8" w:color="EBECEC"/>
            </w:tcBorders>
          </w:tcPr>
          <w:p>
            <w:pPr>
              <w:spacing w:after="0"/>
              <w:rPr>
                <w:sz w:val="20"/>
                <w:szCs w:val="20"/>
                <w:color w:val="auto"/>
              </w:rPr>
            </w:pPr>
            <w:r>
              <w:rPr>
                <w:rFonts w:ascii="Arial" w:cs="Arial" w:eastAsia="Arial" w:hAnsi="Arial"/>
                <w:sz w:val="20"/>
                <w:szCs w:val="20"/>
                <w:color w:val="231F20"/>
              </w:rPr>
              <w:t>Net loss attributable to common stockholders</w:t>
            </w:r>
          </w:p>
        </w:tc>
        <w:tc>
          <w:tcPr>
            <w:tcW w:w="100" w:type="dxa"/>
            <w:vAlign w:val="bottom"/>
            <w:tcBorders>
              <w:bottom w:val="single" w:sz="8" w:color="EBECEC"/>
            </w:tcBorders>
          </w:tcPr>
          <w:p>
            <w:pPr>
              <w:spacing w:after="0"/>
              <w:rPr>
                <w:sz w:val="24"/>
                <w:szCs w:val="24"/>
                <w:color w:val="auto"/>
              </w:rPr>
            </w:pPr>
          </w:p>
        </w:tc>
        <w:tc>
          <w:tcPr>
            <w:tcW w:w="320" w:type="dxa"/>
            <w:vAlign w:val="bottom"/>
            <w:tcBorders>
              <w:bottom w:val="single" w:sz="8" w:color="231F20"/>
            </w:tcBorders>
          </w:tcPr>
          <w:p>
            <w:pPr>
              <w:jc w:val="right"/>
              <w:ind w:right="120"/>
              <w:spacing w:after="0"/>
              <w:rPr>
                <w:sz w:val="20"/>
                <w:szCs w:val="20"/>
                <w:color w:val="auto"/>
              </w:rPr>
            </w:pPr>
            <w:r>
              <w:rPr>
                <w:rFonts w:ascii="Arial" w:cs="Arial" w:eastAsia="Arial" w:hAnsi="Arial"/>
                <w:sz w:val="20"/>
                <w:szCs w:val="20"/>
                <w:color w:val="231F20"/>
                <w:w w:val="71"/>
              </w:rPr>
              <w:t>$</w:t>
            </w:r>
          </w:p>
        </w:tc>
        <w:tc>
          <w:tcPr>
            <w:tcW w:w="13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(35,174)</w:t>
            </w:r>
          </w:p>
        </w:tc>
        <w:tc>
          <w:tcPr>
            <w:tcW w:w="200" w:type="dxa"/>
            <w:vAlign w:val="bottom"/>
            <w:tcBorders>
              <w:bottom w:val="single" w:sz="8" w:color="EBECEC"/>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w w:val="71"/>
              </w:rPr>
              <w:t>$</w:t>
            </w:r>
          </w:p>
        </w:tc>
        <w:tc>
          <w:tcPr>
            <w:tcW w:w="13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(51,321)</w:t>
            </w:r>
          </w:p>
        </w:tc>
      </w:tr>
      <w:tr>
        <w:trPr>
          <w:trHeight w:val="229"/>
        </w:trPr>
        <w:tc>
          <w:tcPr>
            <w:tcW w:w="7240" w:type="dxa"/>
            <w:vAlign w:val="bottom"/>
            <w:shd w:val="clear" w:color="auto" w:fill="EBECEC"/>
          </w:tcPr>
          <w:p>
            <w:pPr>
              <w:spacing w:after="0"/>
              <w:rPr>
                <w:sz w:val="20"/>
                <w:szCs w:val="20"/>
                <w:color w:val="auto"/>
              </w:rPr>
            </w:pPr>
            <w:r>
              <w:rPr>
                <w:rFonts w:ascii="Arial" w:cs="Arial" w:eastAsia="Arial" w:hAnsi="Arial"/>
                <w:sz w:val="20"/>
                <w:szCs w:val="20"/>
                <w:b w:val="1"/>
                <w:bCs w:val="1"/>
                <w:color w:val="231F20"/>
              </w:rPr>
              <w:t>Denominator:</w:t>
            </w:r>
          </w:p>
        </w:tc>
        <w:tc>
          <w:tcPr>
            <w:tcW w:w="100" w:type="dxa"/>
            <w:vAlign w:val="bottom"/>
            <w:shd w:val="clear" w:color="auto" w:fill="EBECEC"/>
          </w:tcPr>
          <w:p>
            <w:pPr>
              <w:spacing w:after="0"/>
              <w:rPr>
                <w:sz w:val="19"/>
                <w:szCs w:val="19"/>
                <w:color w:val="auto"/>
              </w:rPr>
            </w:pPr>
          </w:p>
        </w:tc>
        <w:tc>
          <w:tcPr>
            <w:tcW w:w="320" w:type="dxa"/>
            <w:vAlign w:val="bottom"/>
            <w:shd w:val="clear" w:color="auto" w:fill="EBECEC"/>
          </w:tcPr>
          <w:p>
            <w:pPr>
              <w:spacing w:after="0"/>
              <w:rPr>
                <w:sz w:val="19"/>
                <w:szCs w:val="19"/>
                <w:color w:val="auto"/>
              </w:rPr>
            </w:pPr>
          </w:p>
        </w:tc>
        <w:tc>
          <w:tcPr>
            <w:tcW w:w="1320" w:type="dxa"/>
            <w:vAlign w:val="bottom"/>
            <w:shd w:val="clear" w:color="auto" w:fill="EBECEC"/>
          </w:tcPr>
          <w:p>
            <w:pPr>
              <w:spacing w:after="0"/>
              <w:rPr>
                <w:sz w:val="19"/>
                <w:szCs w:val="19"/>
                <w:color w:val="auto"/>
              </w:rPr>
            </w:pPr>
          </w:p>
        </w:tc>
        <w:tc>
          <w:tcPr>
            <w:tcW w:w="200" w:type="dxa"/>
            <w:vAlign w:val="bottom"/>
            <w:shd w:val="clear" w:color="auto" w:fill="EBECEC"/>
          </w:tcPr>
          <w:p>
            <w:pPr>
              <w:spacing w:after="0"/>
              <w:rPr>
                <w:sz w:val="19"/>
                <w:szCs w:val="19"/>
                <w:color w:val="auto"/>
              </w:rPr>
            </w:pPr>
          </w:p>
        </w:tc>
        <w:tc>
          <w:tcPr>
            <w:tcW w:w="20" w:type="dxa"/>
            <w:vAlign w:val="bottom"/>
            <w:shd w:val="clear" w:color="auto" w:fill="EBECEC"/>
          </w:tcPr>
          <w:p>
            <w:pPr>
              <w:spacing w:after="0"/>
              <w:rPr>
                <w:sz w:val="19"/>
                <w:szCs w:val="19"/>
                <w:color w:val="auto"/>
              </w:rPr>
            </w:pPr>
          </w:p>
        </w:tc>
        <w:tc>
          <w:tcPr>
            <w:tcW w:w="300" w:type="dxa"/>
            <w:vAlign w:val="bottom"/>
            <w:shd w:val="clear" w:color="auto" w:fill="EBECEC"/>
          </w:tcPr>
          <w:p>
            <w:pPr>
              <w:spacing w:after="0"/>
              <w:rPr>
                <w:sz w:val="19"/>
                <w:szCs w:val="19"/>
                <w:color w:val="auto"/>
              </w:rPr>
            </w:pPr>
          </w:p>
        </w:tc>
        <w:tc>
          <w:tcPr>
            <w:tcW w:w="1300" w:type="dxa"/>
            <w:vAlign w:val="bottom"/>
            <w:shd w:val="clear" w:color="auto" w:fill="EBECEC"/>
          </w:tcPr>
          <w:p>
            <w:pPr>
              <w:spacing w:after="0"/>
              <w:rPr>
                <w:sz w:val="19"/>
                <w:szCs w:val="19"/>
                <w:color w:val="auto"/>
              </w:rPr>
            </w:pPr>
          </w:p>
        </w:tc>
      </w:tr>
      <w:tr>
        <w:trPr>
          <w:trHeight w:val="225"/>
        </w:trPr>
        <w:tc>
          <w:tcPr>
            <w:tcW w:w="7240" w:type="dxa"/>
            <w:vAlign w:val="bottom"/>
          </w:tcPr>
          <w:p>
            <w:pPr>
              <w:ind w:left="280"/>
              <w:spacing w:after="0" w:line="225" w:lineRule="exact"/>
              <w:rPr>
                <w:sz w:val="20"/>
                <w:szCs w:val="20"/>
                <w:color w:val="auto"/>
              </w:rPr>
            </w:pPr>
            <w:r>
              <w:rPr>
                <w:rFonts w:ascii="Arial" w:cs="Arial" w:eastAsia="Arial" w:hAnsi="Arial"/>
                <w:sz w:val="20"/>
                <w:szCs w:val="20"/>
                <w:color w:val="231F20"/>
              </w:rPr>
              <w:t>Weighted-average common shares outstanding used to calculate net loss per</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89"/>
        </w:trPr>
        <w:tc>
          <w:tcPr>
            <w:tcW w:w="7240" w:type="dxa"/>
            <w:vAlign w:val="bottom"/>
            <w:tcBorders>
              <w:bottom w:val="single" w:sz="8" w:color="EBECEC"/>
            </w:tcBorders>
          </w:tcPr>
          <w:p>
            <w:pPr>
              <w:ind w:left="280"/>
              <w:spacing w:after="0"/>
              <w:rPr>
                <w:sz w:val="20"/>
                <w:szCs w:val="20"/>
                <w:color w:val="auto"/>
              </w:rPr>
            </w:pPr>
            <w:r>
              <w:rPr>
                <w:rFonts w:ascii="Arial" w:cs="Arial" w:eastAsia="Arial" w:hAnsi="Arial"/>
                <w:sz w:val="20"/>
                <w:szCs w:val="20"/>
                <w:color w:val="231F20"/>
              </w:rPr>
              <w:t>share attributable to common stockholders, basic and diluted</w:t>
            </w:r>
          </w:p>
        </w:tc>
        <w:tc>
          <w:tcPr>
            <w:tcW w:w="100" w:type="dxa"/>
            <w:vAlign w:val="bottom"/>
            <w:tcBorders>
              <w:bottom w:val="single" w:sz="8" w:color="EBECEC"/>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ind w:right="28"/>
              <w:spacing w:after="0"/>
              <w:rPr>
                <w:sz w:val="20"/>
                <w:szCs w:val="20"/>
                <w:color w:val="auto"/>
              </w:rPr>
            </w:pPr>
            <w:r>
              <w:rPr>
                <w:rFonts w:ascii="Arial" w:cs="Arial" w:eastAsia="Arial" w:hAnsi="Arial"/>
                <w:sz w:val="20"/>
                <w:szCs w:val="20"/>
                <w:color w:val="231F20"/>
              </w:rPr>
              <w:t>30,215,747</w:t>
            </w:r>
          </w:p>
        </w:tc>
        <w:tc>
          <w:tcPr>
            <w:tcW w:w="200" w:type="dxa"/>
            <w:vAlign w:val="bottom"/>
            <w:tcBorders>
              <w:bottom w:val="single" w:sz="8" w:color="EBECEC"/>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300" w:type="dxa"/>
            <w:vAlign w:val="bottom"/>
            <w:tcBorders>
              <w:bottom w:val="single" w:sz="8" w:color="231F20"/>
            </w:tcBorders>
          </w:tcPr>
          <w:p>
            <w:pPr>
              <w:jc w:val="right"/>
              <w:ind w:right="5"/>
              <w:spacing w:after="0"/>
              <w:rPr>
                <w:sz w:val="20"/>
                <w:szCs w:val="20"/>
                <w:color w:val="auto"/>
              </w:rPr>
            </w:pPr>
            <w:r>
              <w:rPr>
                <w:rFonts w:ascii="Arial" w:cs="Arial" w:eastAsia="Arial" w:hAnsi="Arial"/>
                <w:sz w:val="20"/>
                <w:szCs w:val="20"/>
                <w:color w:val="231F20"/>
              </w:rPr>
              <w:t>29,828,227</w:t>
            </w:r>
          </w:p>
        </w:tc>
      </w:tr>
      <w:tr>
        <w:trPr>
          <w:trHeight w:val="229"/>
        </w:trPr>
        <w:tc>
          <w:tcPr>
            <w:tcW w:w="7240" w:type="dxa"/>
            <w:vAlign w:val="bottom"/>
            <w:shd w:val="clear" w:color="auto" w:fill="EBECEC"/>
          </w:tcPr>
          <w:p>
            <w:pPr>
              <w:spacing w:after="0"/>
              <w:rPr>
                <w:sz w:val="20"/>
                <w:szCs w:val="20"/>
                <w:color w:val="auto"/>
              </w:rPr>
            </w:pPr>
            <w:r>
              <w:rPr>
                <w:rFonts w:ascii="Arial" w:cs="Arial" w:eastAsia="Arial" w:hAnsi="Arial"/>
                <w:sz w:val="20"/>
                <w:szCs w:val="20"/>
                <w:color w:val="231F20"/>
              </w:rPr>
              <w:t>Net loss per share attributable to common stockholders, basic and diluted</w:t>
            </w:r>
          </w:p>
        </w:tc>
        <w:tc>
          <w:tcPr>
            <w:tcW w:w="100" w:type="dxa"/>
            <w:vAlign w:val="bottom"/>
            <w:shd w:val="clear" w:color="auto" w:fill="EBECEC"/>
          </w:tcPr>
          <w:p>
            <w:pPr>
              <w:spacing w:after="0"/>
              <w:rPr>
                <w:sz w:val="19"/>
                <w:szCs w:val="19"/>
                <w:color w:val="auto"/>
              </w:rPr>
            </w:pPr>
          </w:p>
        </w:tc>
        <w:tc>
          <w:tcPr>
            <w:tcW w:w="320" w:type="dxa"/>
            <w:vAlign w:val="bottom"/>
            <w:tcBorders>
              <w:bottom w:val="single" w:sz="8" w:color="231F20"/>
            </w:tcBorders>
            <w:shd w:val="clear" w:color="auto" w:fill="EBECEC"/>
          </w:tcPr>
          <w:p>
            <w:pPr>
              <w:jc w:val="right"/>
              <w:ind w:right="120"/>
              <w:spacing w:after="0"/>
              <w:rPr>
                <w:sz w:val="20"/>
                <w:szCs w:val="20"/>
                <w:color w:val="auto"/>
              </w:rPr>
            </w:pPr>
            <w:r>
              <w:rPr>
                <w:rFonts w:ascii="Arial" w:cs="Arial" w:eastAsia="Arial" w:hAnsi="Arial"/>
                <w:sz w:val="20"/>
                <w:szCs w:val="20"/>
                <w:color w:val="231F20"/>
                <w:w w:val="71"/>
              </w:rPr>
              <w:t>$</w:t>
            </w:r>
          </w:p>
        </w:tc>
        <w:tc>
          <w:tcPr>
            <w:tcW w:w="132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(1.16)</w:t>
            </w:r>
          </w:p>
        </w:tc>
        <w:tc>
          <w:tcPr>
            <w:tcW w:w="200" w:type="dxa"/>
            <w:vAlign w:val="bottom"/>
            <w:shd w:val="clear" w:color="auto" w:fill="EBECEC"/>
          </w:tcPr>
          <w:p>
            <w:pPr>
              <w:spacing w:after="0"/>
              <w:rPr>
                <w:sz w:val="19"/>
                <w:szCs w:val="19"/>
                <w:color w:val="auto"/>
              </w:rPr>
            </w:pPr>
          </w:p>
        </w:tc>
        <w:tc>
          <w:tcPr>
            <w:tcW w:w="20" w:type="dxa"/>
            <w:vAlign w:val="bottom"/>
            <w:tcBorders>
              <w:bottom w:val="single" w:sz="8" w:color="231F20"/>
            </w:tcBorders>
            <w:shd w:val="clear" w:color="auto" w:fill="EBECEC"/>
          </w:tcPr>
          <w:p>
            <w:pPr>
              <w:spacing w:after="0"/>
              <w:rPr>
                <w:sz w:val="19"/>
                <w:szCs w:val="19"/>
                <w:color w:val="auto"/>
              </w:rPr>
            </w:pPr>
          </w:p>
        </w:tc>
        <w:tc>
          <w:tcPr>
            <w:tcW w:w="300" w:type="dxa"/>
            <w:vAlign w:val="bottom"/>
            <w:tcBorders>
              <w:bottom w:val="single" w:sz="8" w:color="231F20"/>
            </w:tcBorders>
            <w:shd w:val="clear" w:color="auto" w:fill="EBECEC"/>
          </w:tcPr>
          <w:p>
            <w:pPr>
              <w:jc w:val="right"/>
              <w:ind w:right="145"/>
              <w:spacing w:after="0"/>
              <w:rPr>
                <w:sz w:val="20"/>
                <w:szCs w:val="20"/>
                <w:color w:val="auto"/>
              </w:rPr>
            </w:pPr>
            <w:r>
              <w:rPr>
                <w:rFonts w:ascii="Arial" w:cs="Arial" w:eastAsia="Arial" w:hAnsi="Arial"/>
                <w:sz w:val="15"/>
                <w:szCs w:val="15"/>
                <w:color w:val="231F20"/>
                <w:w w:val="71"/>
              </w:rPr>
              <w:t>$</w:t>
            </w:r>
          </w:p>
        </w:tc>
        <w:tc>
          <w:tcPr>
            <w:tcW w:w="130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(1.72)</w:t>
            </w:r>
          </w:p>
        </w:tc>
      </w:tr>
      <w:tr>
        <w:trPr>
          <w:trHeight w:val="20"/>
        </w:trPr>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F-25</w:t>
      </w:r>
    </w:p>
    <w:p>
      <w:pPr>
        <w:sectPr>
          <w:pgSz w:w="11880" w:h="15480" w:orient="portrait"/>
          <w:cols w:equalWidth="0" w:num="1">
            <w:col w:w="10800"/>
          </w:cols>
          <w:pgMar w:left="540" w:top="756" w:right="540" w:bottom="6" w:gutter="0" w:footer="0" w:header="0"/>
          <w:type w:val="continuous"/>
        </w:sectPr>
      </w:pPr>
    </w:p>
    <w:bookmarkStart w:id="116" w:name="page117"/>
    <w:bookmarkEnd w:id="116"/>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50" w:lineRule="exact"/>
        <w:rPr>
          <w:sz w:val="20"/>
          <w:szCs w:val="20"/>
          <w:color w:val="auto"/>
        </w:rPr>
      </w:pPr>
    </w:p>
    <w:p>
      <w:pPr>
        <w:ind w:right="200" w:firstLine="490"/>
        <w:spacing w:after="0" w:line="254" w:lineRule="auto"/>
        <w:rPr>
          <w:sz w:val="20"/>
          <w:szCs w:val="20"/>
          <w:color w:val="auto"/>
        </w:rPr>
      </w:pPr>
      <w:r>
        <w:rPr>
          <w:rFonts w:ascii="Arial" w:cs="Arial" w:eastAsia="Arial" w:hAnsi="Arial"/>
          <w:sz w:val="20"/>
          <w:szCs w:val="20"/>
          <w:color w:val="231F20"/>
        </w:rPr>
        <w:t>Since the Company was in a loss position for all periods presented, basic net loss per share is the same as diluted net loss per share for all periods as the inclusion of all potential common shares outstanding would have been anti-dilutive. Potentially dilutive securities that were not included in the diluted per share calculations because they would be anti-dilutive were as follows:</w:t>
      </w:r>
    </w:p>
    <w:p>
      <w:pPr>
        <w:spacing w:after="0" w:line="201"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820" w:type="dxa"/>
            <w:vAlign w:val="bottom"/>
            <w:tcBorders>
              <w:bottom w:val="single" w:sz="8" w:color="231F20"/>
            </w:tcBorders>
            <w:gridSpan w:val="3"/>
          </w:tcPr>
          <w:p>
            <w:pPr>
              <w:jc w:val="right"/>
              <w:ind w:right="840"/>
              <w:spacing w:after="0"/>
              <w:rPr>
                <w:sz w:val="20"/>
                <w:szCs w:val="20"/>
                <w:color w:val="auto"/>
              </w:rPr>
            </w:pPr>
            <w:r>
              <w:rPr>
                <w:rFonts w:ascii="Arial" w:cs="Arial" w:eastAsia="Arial" w:hAnsi="Arial"/>
                <w:sz w:val="16"/>
                <w:szCs w:val="16"/>
                <w:b w:val="1"/>
                <w:bCs w:val="1"/>
                <w:color w:val="231F20"/>
              </w:rPr>
              <w:t>December 31,</w:t>
            </w:r>
          </w:p>
        </w:tc>
      </w:tr>
      <w:tr>
        <w:trPr>
          <w:trHeight w:val="193"/>
        </w:trPr>
        <w:tc>
          <w:tcPr>
            <w:tcW w:w="5820" w:type="dxa"/>
            <w:vAlign w:val="bottom"/>
          </w:tcPr>
          <w:p>
            <w:pPr>
              <w:spacing w:after="0"/>
              <w:rPr>
                <w:sz w:val="16"/>
                <w:szCs w:val="16"/>
                <w:color w:val="auto"/>
              </w:rPr>
            </w:pPr>
          </w:p>
        </w:tc>
        <w:tc>
          <w:tcPr>
            <w:tcW w:w="1340" w:type="dxa"/>
            <w:vAlign w:val="bottom"/>
          </w:tcPr>
          <w:p>
            <w:pPr>
              <w:jc w:val="right"/>
              <w:ind w:right="447"/>
              <w:spacing w:after="0"/>
              <w:rPr>
                <w:sz w:val="20"/>
                <w:szCs w:val="20"/>
                <w:color w:val="auto"/>
              </w:rPr>
            </w:pPr>
            <w:r>
              <w:rPr>
                <w:rFonts w:ascii="Arial" w:cs="Arial" w:eastAsia="Arial" w:hAnsi="Arial"/>
                <w:sz w:val="16"/>
                <w:szCs w:val="16"/>
                <w:b w:val="1"/>
                <w:bCs w:val="1"/>
                <w:color w:val="231F20"/>
              </w:rPr>
              <w:t>2025</w:t>
            </w:r>
          </w:p>
        </w:tc>
        <w:tc>
          <w:tcPr>
            <w:tcW w:w="14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231F20"/>
              </w:rPr>
              <w:t>2024</w:t>
            </w:r>
          </w:p>
        </w:tc>
      </w:tr>
      <w:tr>
        <w:trPr>
          <w:trHeight w:val="239"/>
        </w:trPr>
        <w:tc>
          <w:tcPr>
            <w:tcW w:w="5820" w:type="dxa"/>
            <w:vAlign w:val="bottom"/>
            <w:tcBorders>
              <w:top w:val="single" w:sz="8" w:color="EBECEC"/>
            </w:tcBorders>
            <w:shd w:val="clear" w:color="auto" w:fill="EBECEC"/>
          </w:tcPr>
          <w:p>
            <w:pPr>
              <w:spacing w:after="0"/>
              <w:rPr>
                <w:sz w:val="20"/>
                <w:szCs w:val="20"/>
                <w:color w:val="auto"/>
              </w:rPr>
            </w:pPr>
            <w:r>
              <w:rPr>
                <w:rFonts w:ascii="Arial" w:cs="Arial" w:eastAsia="Arial" w:hAnsi="Arial"/>
                <w:sz w:val="20"/>
                <w:szCs w:val="20"/>
                <w:color w:val="231F20"/>
              </w:rPr>
              <w:t>Options issued and outstanding</w:t>
            </w:r>
          </w:p>
        </w:tc>
        <w:tc>
          <w:tcPr>
            <w:tcW w:w="1340" w:type="dxa"/>
            <w:vAlign w:val="bottom"/>
            <w:tcBorders>
              <w:top w:val="single" w:sz="8" w:color="231F20"/>
            </w:tcBorders>
            <w:shd w:val="clear" w:color="auto" w:fill="EBECEC"/>
          </w:tcPr>
          <w:p>
            <w:pPr>
              <w:jc w:val="right"/>
              <w:ind w:right="7"/>
              <w:spacing w:after="0"/>
              <w:rPr>
                <w:sz w:val="20"/>
                <w:szCs w:val="20"/>
                <w:color w:val="auto"/>
              </w:rPr>
            </w:pPr>
            <w:r>
              <w:rPr>
                <w:rFonts w:ascii="Arial" w:cs="Arial" w:eastAsia="Arial" w:hAnsi="Arial"/>
                <w:sz w:val="20"/>
                <w:szCs w:val="20"/>
                <w:color w:val="231F20"/>
              </w:rPr>
              <w:t>5,466,222</w:t>
            </w:r>
          </w:p>
        </w:tc>
        <w:tc>
          <w:tcPr>
            <w:tcW w:w="160" w:type="dxa"/>
            <w:vAlign w:val="bottom"/>
            <w:tcBorders>
              <w:top w:val="single" w:sz="8" w:color="EBECEC"/>
            </w:tcBorders>
            <w:shd w:val="clear" w:color="auto" w:fill="EBECEC"/>
          </w:tcPr>
          <w:p>
            <w:pPr>
              <w:spacing w:after="0"/>
              <w:rPr>
                <w:sz w:val="20"/>
                <w:szCs w:val="20"/>
                <w:color w:val="auto"/>
              </w:rPr>
            </w:pPr>
          </w:p>
        </w:tc>
        <w:tc>
          <w:tcPr>
            <w:tcW w:w="1320" w:type="dxa"/>
            <w:vAlign w:val="bottom"/>
            <w:tcBorders>
              <w:top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4,890,843</w:t>
            </w:r>
          </w:p>
        </w:tc>
      </w:tr>
      <w:tr>
        <w:trPr>
          <w:trHeight w:val="244"/>
        </w:trPr>
        <w:tc>
          <w:tcPr>
            <w:tcW w:w="5820" w:type="dxa"/>
            <w:vAlign w:val="bottom"/>
          </w:tcPr>
          <w:p>
            <w:pPr>
              <w:spacing w:after="0"/>
              <w:rPr>
                <w:sz w:val="20"/>
                <w:szCs w:val="20"/>
                <w:color w:val="auto"/>
              </w:rPr>
            </w:pPr>
            <w:r>
              <w:rPr>
                <w:rFonts w:ascii="Arial" w:cs="Arial" w:eastAsia="Arial" w:hAnsi="Arial"/>
                <w:sz w:val="20"/>
                <w:szCs w:val="20"/>
                <w:color w:val="231F20"/>
              </w:rPr>
              <w:t>Unvested RSUs</w:t>
            </w:r>
          </w:p>
        </w:tc>
        <w:tc>
          <w:tcPr>
            <w:tcW w:w="1340" w:type="dxa"/>
            <w:vAlign w:val="bottom"/>
          </w:tcPr>
          <w:p>
            <w:pPr>
              <w:jc w:val="right"/>
              <w:ind w:right="7"/>
              <w:spacing w:after="0"/>
              <w:rPr>
                <w:sz w:val="20"/>
                <w:szCs w:val="20"/>
                <w:color w:val="auto"/>
              </w:rPr>
            </w:pPr>
            <w:r>
              <w:rPr>
                <w:rFonts w:ascii="Arial" w:cs="Arial" w:eastAsia="Arial" w:hAnsi="Arial"/>
                <w:sz w:val="20"/>
                <w:szCs w:val="20"/>
                <w:color w:val="231F20"/>
              </w:rPr>
              <w:t>856,160</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231F20"/>
              </w:rPr>
              <w:t>516,511</w:t>
            </w:r>
          </w:p>
        </w:tc>
      </w:tr>
      <w:tr>
        <w:trPr>
          <w:trHeight w:val="244"/>
        </w:trPr>
        <w:tc>
          <w:tcPr>
            <w:tcW w:w="5820" w:type="dxa"/>
            <w:vAlign w:val="bottom"/>
            <w:shd w:val="clear" w:color="auto" w:fill="EBECEC"/>
          </w:tcPr>
          <w:p>
            <w:pPr>
              <w:spacing w:after="0"/>
              <w:rPr>
                <w:sz w:val="20"/>
                <w:szCs w:val="20"/>
                <w:color w:val="auto"/>
              </w:rPr>
            </w:pPr>
            <w:r>
              <w:rPr>
                <w:rFonts w:ascii="Arial" w:cs="Arial" w:eastAsia="Arial" w:hAnsi="Arial"/>
                <w:sz w:val="20"/>
                <w:szCs w:val="20"/>
                <w:color w:val="231F20"/>
              </w:rPr>
              <w:t>Estimated shares issuable under the ESPP</w:t>
            </w:r>
          </w:p>
        </w:tc>
        <w:tc>
          <w:tcPr>
            <w:tcW w:w="1340" w:type="dxa"/>
            <w:vAlign w:val="bottom"/>
            <w:shd w:val="clear" w:color="auto" w:fill="EBECEC"/>
          </w:tcPr>
          <w:p>
            <w:pPr>
              <w:jc w:val="right"/>
              <w:ind w:right="7"/>
              <w:spacing w:after="0"/>
              <w:rPr>
                <w:sz w:val="20"/>
                <w:szCs w:val="20"/>
                <w:color w:val="auto"/>
              </w:rPr>
            </w:pPr>
            <w:r>
              <w:rPr>
                <w:rFonts w:ascii="Arial" w:cs="Arial" w:eastAsia="Arial" w:hAnsi="Arial"/>
                <w:sz w:val="20"/>
                <w:szCs w:val="20"/>
                <w:color w:val="231F20"/>
              </w:rPr>
              <w:t>31,200</w:t>
            </w:r>
          </w:p>
        </w:tc>
        <w:tc>
          <w:tcPr>
            <w:tcW w:w="1480" w:type="dxa"/>
            <w:vAlign w:val="bottom"/>
            <w:gridSpan w:val="2"/>
            <w:shd w:val="clear" w:color="auto" w:fill="EBECEC"/>
          </w:tcPr>
          <w:p>
            <w:pPr>
              <w:jc w:val="right"/>
              <w:spacing w:after="0"/>
              <w:rPr>
                <w:sz w:val="20"/>
                <w:szCs w:val="20"/>
                <w:color w:val="auto"/>
              </w:rPr>
            </w:pPr>
            <w:r>
              <w:rPr>
                <w:rFonts w:ascii="Arial" w:cs="Arial" w:eastAsia="Arial" w:hAnsi="Arial"/>
                <w:sz w:val="20"/>
                <w:szCs w:val="20"/>
                <w:color w:val="231F20"/>
              </w:rPr>
              <w:t>39,228</w:t>
            </w:r>
          </w:p>
        </w:tc>
      </w:tr>
      <w:tr>
        <w:trPr>
          <w:trHeight w:val="239"/>
        </w:trPr>
        <w:tc>
          <w:tcPr>
            <w:tcW w:w="5820" w:type="dxa"/>
            <w:vAlign w:val="bottom"/>
          </w:tcPr>
          <w:p>
            <w:pPr>
              <w:spacing w:after="0"/>
              <w:rPr>
                <w:sz w:val="20"/>
                <w:szCs w:val="20"/>
                <w:color w:val="auto"/>
              </w:rPr>
            </w:pPr>
            <w:r>
              <w:rPr>
                <w:rFonts w:ascii="Arial" w:cs="Arial" w:eastAsia="Arial" w:hAnsi="Arial"/>
                <w:sz w:val="20"/>
                <w:szCs w:val="20"/>
                <w:color w:val="231F20"/>
              </w:rPr>
              <w:t>Total</w:t>
            </w:r>
          </w:p>
        </w:tc>
        <w:tc>
          <w:tcPr>
            <w:tcW w:w="1340" w:type="dxa"/>
            <w:vAlign w:val="bottom"/>
            <w:tcBorders>
              <w:top w:val="single" w:sz="8" w:color="231F20"/>
              <w:bottom w:val="single" w:sz="8" w:color="231F20"/>
            </w:tcBorders>
          </w:tcPr>
          <w:p>
            <w:pPr>
              <w:jc w:val="right"/>
              <w:ind w:right="7"/>
              <w:spacing w:after="0"/>
              <w:rPr>
                <w:sz w:val="20"/>
                <w:szCs w:val="20"/>
                <w:color w:val="auto"/>
              </w:rPr>
            </w:pPr>
            <w:r>
              <w:rPr>
                <w:rFonts w:ascii="Arial" w:cs="Arial" w:eastAsia="Arial" w:hAnsi="Arial"/>
                <w:sz w:val="20"/>
                <w:szCs w:val="20"/>
                <w:color w:val="231F20"/>
              </w:rPr>
              <w:t>6,353,582</w:t>
            </w:r>
          </w:p>
        </w:tc>
        <w:tc>
          <w:tcPr>
            <w:tcW w:w="160" w:type="dxa"/>
            <w:vAlign w:val="bottom"/>
          </w:tcPr>
          <w:p>
            <w:pPr>
              <w:spacing w:after="0"/>
              <w:rPr>
                <w:sz w:val="20"/>
                <w:szCs w:val="20"/>
                <w:color w:val="auto"/>
              </w:rPr>
            </w:pPr>
          </w:p>
        </w:tc>
        <w:tc>
          <w:tcPr>
            <w:tcW w:w="132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20"/>
                <w:szCs w:val="20"/>
                <w:color w:val="231F20"/>
              </w:rPr>
              <w:t>5,446,582</w:t>
            </w:r>
          </w:p>
        </w:tc>
      </w:tr>
      <w:tr>
        <w:trPr>
          <w:trHeight w:val="20"/>
        </w:trPr>
        <w:tc>
          <w:tcPr>
            <w:tcW w:w="5820" w:type="dxa"/>
            <w:vAlign w:val="bottom"/>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r>
    </w:tbl>
    <w:p>
      <w:pPr>
        <w:spacing w:after="0" w:line="221" w:lineRule="exact"/>
        <w:rPr>
          <w:sz w:val="20"/>
          <w:szCs w:val="20"/>
          <w:color w:val="auto"/>
        </w:rPr>
      </w:pPr>
    </w:p>
    <w:p>
      <w:pPr>
        <w:ind w:firstLine="490"/>
        <w:spacing w:after="0" w:line="250" w:lineRule="auto"/>
        <w:rPr>
          <w:sz w:val="20"/>
          <w:szCs w:val="20"/>
          <w:color w:val="auto"/>
        </w:rPr>
      </w:pPr>
      <w:r>
        <w:rPr>
          <w:rFonts w:ascii="Arial" w:cs="Arial" w:eastAsia="Arial" w:hAnsi="Arial"/>
          <w:sz w:val="20"/>
          <w:szCs w:val="20"/>
          <w:color w:val="231F20"/>
        </w:rPr>
        <w:t>In June 2025, the Company entered into exchange agreements with certain existing stockholders to exchange 2,952,000 shares of the Company’s common stock for Warrants for an equivalent number of shares of common stock at a nominal exercise price of $0.00001 per share. The shares of common stock into which the Warrants may be exercised are considered outstanding for the purposes of computing earnings per share because the shares may be issued for little or no consideration, they are fully vested and the Warrants are immediately exercisable upon their issuance date.</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12. Restructuring Charges</w:t>
      </w:r>
    </w:p>
    <w:p>
      <w:pPr>
        <w:spacing w:after="0" w:line="124"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231F20"/>
        </w:rPr>
        <w:t>On August 8, 2024, the Company announced a reduction of approximately 50% of the Company's workforce, which was approved by the Board in connection with the Company’s planned restructuring following discontinuation of the EBO-301 study and to further extend the Company’s operating capital. In connection with the workforce reduction, the Company recognized severance and other charges of $2.2 million for the year ended December 31, 2024, primarily related to severance payments and other employee termination-related expenses. The severance and other charges were recorded to restructuring charges on the statements of operations and comprehensive loss. The workforce reduction was complete by the end of 2024. Cash payments for severance and other charges of $2.2 million were made in the year ended December 31, 2024.</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13. Segment Reporting</w:t>
      </w:r>
    </w:p>
    <w:p>
      <w:pPr>
        <w:spacing w:after="0" w:line="124"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231F20"/>
        </w:rPr>
        <w:t>The Company operates and manages its business as one reportable and operating segment. The determination of a single operating segment is consistent with the financial information regularly provided to the Company’s chief operating decision maker (the “CODM”). The Company's chief executive officer, who is the CODM, assesses performance for the single segment and decides how to allocate resources based on net loss that also is reported on the statements of operations and comprehensive loss. The monitoring of budgeted versus actual results are used in assessing performance of the segment, and making operating decisions, allocating resources, and planning and forecasting for future periods. The measure of segment assets is reported on the balance sheets as total assets.</w:t>
      </w:r>
    </w:p>
    <w:p>
      <w:pPr>
        <w:spacing w:after="0" w:line="193" w:lineRule="exact"/>
        <w:rPr>
          <w:sz w:val="20"/>
          <w:szCs w:val="20"/>
          <w:color w:val="auto"/>
        </w:rPr>
      </w:pPr>
    </w:p>
    <w:p>
      <w:pPr>
        <w:ind w:right="180" w:firstLine="490"/>
        <w:spacing w:after="0" w:line="282" w:lineRule="auto"/>
        <w:rPr>
          <w:sz w:val="20"/>
          <w:szCs w:val="20"/>
          <w:color w:val="auto"/>
        </w:rPr>
      </w:pPr>
      <w:r>
        <w:rPr>
          <w:rFonts w:ascii="Arial" w:cs="Arial" w:eastAsia="Arial" w:hAnsi="Arial"/>
          <w:sz w:val="20"/>
          <w:szCs w:val="20"/>
          <w:color w:val="231F20"/>
        </w:rPr>
        <w:t>In addition to the significant expense categories included within net loss presented on the statements of operations and comprehensive loss, see below for disaggregated amounts that comprise research and development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80" w:type="dxa"/>
            <w:vAlign w:val="bottom"/>
            <w:tcBorders>
              <w:bottom w:val="single" w:sz="8" w:color="231F20"/>
            </w:tcBorders>
            <w:gridSpan w:val="4"/>
          </w:tcPr>
          <w:p>
            <w:pPr>
              <w:jc w:val="right"/>
              <w:ind w:right="260"/>
              <w:spacing w:after="0"/>
              <w:rPr>
                <w:sz w:val="20"/>
                <w:szCs w:val="20"/>
                <w:color w:val="auto"/>
              </w:rPr>
            </w:pPr>
            <w:r>
              <w:rPr>
                <w:rFonts w:ascii="Arial" w:cs="Arial" w:eastAsia="Arial" w:hAnsi="Arial"/>
                <w:sz w:val="16"/>
                <w:szCs w:val="16"/>
                <w:b w:val="1"/>
                <w:bCs w:val="1"/>
                <w:color w:val="231F20"/>
              </w:rPr>
              <w:t>Year Ended December 31,</w:t>
            </w:r>
          </w:p>
        </w:tc>
        <w:tc>
          <w:tcPr>
            <w:tcW w:w="780" w:type="dxa"/>
            <w:vAlign w:val="bottom"/>
            <w:tcBorders>
              <w:bottom w:val="single" w:sz="8" w:color="231F20"/>
            </w:tcBorders>
          </w:tcPr>
          <w:p>
            <w:pPr>
              <w:spacing w:after="0"/>
              <w:rPr>
                <w:sz w:val="17"/>
                <w:szCs w:val="17"/>
                <w:color w:val="auto"/>
              </w:rPr>
            </w:pPr>
          </w:p>
        </w:tc>
      </w:tr>
      <w:tr>
        <w:trPr>
          <w:trHeight w:val="193"/>
        </w:trPr>
        <w:tc>
          <w:tcPr>
            <w:tcW w:w="5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231F20"/>
              </w:rPr>
              <w:t>2025</w:t>
            </w:r>
          </w:p>
        </w:tc>
        <w:tc>
          <w:tcPr>
            <w:tcW w:w="8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231F20"/>
              </w:rPr>
              <w:t>2024</w:t>
            </w:r>
          </w:p>
        </w:tc>
        <w:tc>
          <w:tcPr>
            <w:tcW w:w="780" w:type="dxa"/>
            <w:vAlign w:val="bottom"/>
          </w:tcPr>
          <w:p>
            <w:pPr>
              <w:spacing w:after="0"/>
              <w:rPr>
                <w:sz w:val="16"/>
                <w:szCs w:val="16"/>
                <w:color w:val="auto"/>
              </w:rPr>
            </w:pPr>
          </w:p>
        </w:tc>
      </w:tr>
      <w:tr>
        <w:trPr>
          <w:trHeight w:val="239"/>
        </w:trPr>
        <w:tc>
          <w:tcPr>
            <w:tcW w:w="5600" w:type="dxa"/>
            <w:vAlign w:val="bottom"/>
            <w:tcBorders>
              <w:top w:val="single" w:sz="8" w:color="EBECEC"/>
            </w:tcBorders>
            <w:shd w:val="clear" w:color="auto" w:fill="EBECEC"/>
          </w:tcPr>
          <w:p>
            <w:pPr>
              <w:spacing w:after="0"/>
              <w:rPr>
                <w:sz w:val="20"/>
                <w:szCs w:val="20"/>
                <w:color w:val="auto"/>
              </w:rPr>
            </w:pPr>
            <w:r>
              <w:rPr>
                <w:rFonts w:ascii="Arial" w:cs="Arial" w:eastAsia="Arial" w:hAnsi="Arial"/>
                <w:sz w:val="20"/>
                <w:szCs w:val="20"/>
                <w:b w:val="1"/>
                <w:bCs w:val="1"/>
                <w:color w:val="231F20"/>
              </w:rPr>
              <w:t>External research and development expenses:</w:t>
            </w:r>
          </w:p>
        </w:tc>
        <w:tc>
          <w:tcPr>
            <w:tcW w:w="1040" w:type="dxa"/>
            <w:vAlign w:val="bottom"/>
            <w:tcBorders>
              <w:top w:val="single" w:sz="8" w:color="EBECEC"/>
            </w:tcBorders>
            <w:shd w:val="clear" w:color="auto" w:fill="EBECEC"/>
          </w:tcPr>
          <w:p>
            <w:pPr>
              <w:spacing w:after="0"/>
              <w:rPr>
                <w:sz w:val="20"/>
                <w:szCs w:val="20"/>
                <w:color w:val="auto"/>
              </w:rPr>
            </w:pPr>
          </w:p>
        </w:tc>
        <w:tc>
          <w:tcPr>
            <w:tcW w:w="1200" w:type="dxa"/>
            <w:vAlign w:val="bottom"/>
            <w:tcBorders>
              <w:top w:val="single" w:sz="8" w:color="231F20"/>
            </w:tcBorders>
            <w:shd w:val="clear" w:color="auto" w:fill="EBECEC"/>
          </w:tcPr>
          <w:p>
            <w:pPr>
              <w:spacing w:after="0"/>
              <w:rPr>
                <w:sz w:val="20"/>
                <w:szCs w:val="20"/>
                <w:color w:val="auto"/>
              </w:rPr>
            </w:pPr>
          </w:p>
        </w:tc>
        <w:tc>
          <w:tcPr>
            <w:tcW w:w="800" w:type="dxa"/>
            <w:vAlign w:val="bottom"/>
            <w:tcBorders>
              <w:top w:val="single" w:sz="8" w:color="231F20"/>
            </w:tcBorders>
            <w:shd w:val="clear" w:color="auto" w:fill="EBECEC"/>
          </w:tcPr>
          <w:p>
            <w:pPr>
              <w:spacing w:after="0"/>
              <w:rPr>
                <w:sz w:val="20"/>
                <w:szCs w:val="20"/>
                <w:color w:val="auto"/>
              </w:rPr>
            </w:pPr>
          </w:p>
        </w:tc>
        <w:tc>
          <w:tcPr>
            <w:tcW w:w="180" w:type="dxa"/>
            <w:vAlign w:val="bottom"/>
            <w:tcBorders>
              <w:top w:val="single" w:sz="8" w:color="EBECEC"/>
            </w:tcBorders>
            <w:shd w:val="clear" w:color="auto" w:fill="EBECEC"/>
          </w:tcPr>
          <w:p>
            <w:pPr>
              <w:spacing w:after="0"/>
              <w:rPr>
                <w:sz w:val="20"/>
                <w:szCs w:val="20"/>
                <w:color w:val="auto"/>
              </w:rPr>
            </w:pPr>
          </w:p>
        </w:tc>
        <w:tc>
          <w:tcPr>
            <w:tcW w:w="1200" w:type="dxa"/>
            <w:vAlign w:val="bottom"/>
            <w:tcBorders>
              <w:top w:val="single" w:sz="8" w:color="231F20"/>
            </w:tcBorders>
            <w:shd w:val="clear" w:color="auto" w:fill="EBECEC"/>
          </w:tcPr>
          <w:p>
            <w:pPr>
              <w:spacing w:after="0"/>
              <w:rPr>
                <w:sz w:val="20"/>
                <w:szCs w:val="20"/>
                <w:color w:val="auto"/>
              </w:rPr>
            </w:pPr>
          </w:p>
        </w:tc>
        <w:tc>
          <w:tcPr>
            <w:tcW w:w="780" w:type="dxa"/>
            <w:vAlign w:val="bottom"/>
            <w:tcBorders>
              <w:top w:val="single" w:sz="8" w:color="231F20"/>
            </w:tcBorders>
            <w:shd w:val="clear" w:color="auto" w:fill="EBECEC"/>
          </w:tcPr>
          <w:p>
            <w:pPr>
              <w:spacing w:after="0"/>
              <w:rPr>
                <w:sz w:val="20"/>
                <w:szCs w:val="20"/>
                <w:color w:val="auto"/>
              </w:rPr>
            </w:pPr>
          </w:p>
        </w:tc>
      </w:tr>
      <w:tr>
        <w:trPr>
          <w:trHeight w:val="244"/>
        </w:trPr>
        <w:tc>
          <w:tcPr>
            <w:tcW w:w="5600" w:type="dxa"/>
            <w:vAlign w:val="bottom"/>
          </w:tcPr>
          <w:p>
            <w:pPr>
              <w:ind w:left="280"/>
              <w:spacing w:after="0"/>
              <w:rPr>
                <w:sz w:val="20"/>
                <w:szCs w:val="20"/>
                <w:color w:val="auto"/>
              </w:rPr>
            </w:pPr>
            <w:r>
              <w:rPr>
                <w:rFonts w:ascii="Arial" w:cs="Arial" w:eastAsia="Arial" w:hAnsi="Arial"/>
                <w:sz w:val="20"/>
                <w:szCs w:val="20"/>
                <w:color w:val="231F20"/>
              </w:rPr>
              <w:t xml:space="preserve">Other external research and development </w:t>
            </w:r>
            <w:r>
              <w:rPr>
                <w:rFonts w:ascii="Arial" w:cs="Arial" w:eastAsia="Arial" w:hAnsi="Arial"/>
                <w:sz w:val="10"/>
                <w:szCs w:val="10"/>
                <w:color w:val="231F20"/>
              </w:rPr>
              <w:t>(1)</w:t>
            </w:r>
          </w:p>
        </w:tc>
        <w:tc>
          <w:tcPr>
            <w:tcW w:w="1040" w:type="dxa"/>
            <w:vAlign w:val="bottom"/>
          </w:tcPr>
          <w:p>
            <w:pPr>
              <w:spacing w:after="0"/>
              <w:rPr>
                <w:sz w:val="21"/>
                <w:szCs w:val="21"/>
                <w:color w:val="auto"/>
              </w:rPr>
            </w:pPr>
          </w:p>
        </w:tc>
        <w:tc>
          <w:tcPr>
            <w:tcW w:w="1200" w:type="dxa"/>
            <w:vAlign w:val="bottom"/>
          </w:tcPr>
          <w:p>
            <w:pPr>
              <w:jc w:val="right"/>
              <w:ind w:right="1010"/>
              <w:spacing w:after="0"/>
              <w:rPr>
                <w:sz w:val="20"/>
                <w:szCs w:val="20"/>
                <w:color w:val="auto"/>
              </w:rPr>
            </w:pPr>
            <w:r>
              <w:rPr>
                <w:rFonts w:ascii="Arial" w:cs="Arial" w:eastAsia="Arial" w:hAnsi="Arial"/>
                <w:sz w:val="20"/>
                <w:szCs w:val="20"/>
                <w:color w:val="231F20"/>
                <w:w w:val="71"/>
              </w:rPr>
              <w:t>$</w:t>
            </w:r>
          </w:p>
        </w:tc>
        <w:tc>
          <w:tcPr>
            <w:tcW w:w="800" w:type="dxa"/>
            <w:vAlign w:val="bottom"/>
          </w:tcPr>
          <w:p>
            <w:pPr>
              <w:jc w:val="right"/>
              <w:ind w:right="20"/>
              <w:spacing w:after="0"/>
              <w:rPr>
                <w:sz w:val="20"/>
                <w:szCs w:val="20"/>
                <w:color w:val="auto"/>
              </w:rPr>
            </w:pPr>
            <w:r>
              <w:rPr>
                <w:rFonts w:ascii="Arial" w:cs="Arial" w:eastAsia="Arial" w:hAnsi="Arial"/>
                <w:sz w:val="20"/>
                <w:szCs w:val="20"/>
                <w:color w:val="231F20"/>
              </w:rPr>
              <w:t>10,615</w:t>
            </w:r>
          </w:p>
        </w:tc>
        <w:tc>
          <w:tcPr>
            <w:tcW w:w="180" w:type="dxa"/>
            <w:vAlign w:val="bottom"/>
          </w:tcPr>
          <w:p>
            <w:pPr>
              <w:spacing w:after="0"/>
              <w:rPr>
                <w:sz w:val="21"/>
                <w:szCs w:val="21"/>
                <w:color w:val="auto"/>
              </w:rPr>
            </w:pPr>
          </w:p>
        </w:tc>
        <w:tc>
          <w:tcPr>
            <w:tcW w:w="1200" w:type="dxa"/>
            <w:vAlign w:val="bottom"/>
          </w:tcPr>
          <w:p>
            <w:pPr>
              <w:jc w:val="right"/>
              <w:ind w:right="980"/>
              <w:spacing w:after="0"/>
              <w:rPr>
                <w:sz w:val="20"/>
                <w:szCs w:val="20"/>
                <w:color w:val="auto"/>
              </w:rPr>
            </w:pPr>
            <w:r>
              <w:rPr>
                <w:rFonts w:ascii="Arial" w:cs="Arial" w:eastAsia="Arial" w:hAnsi="Arial"/>
                <w:sz w:val="20"/>
                <w:szCs w:val="20"/>
                <w:color w:val="231F20"/>
                <w:w w:val="89"/>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6,911</w:t>
            </w:r>
          </w:p>
        </w:tc>
      </w:tr>
      <w:tr>
        <w:trPr>
          <w:trHeight w:val="244"/>
        </w:trPr>
        <w:tc>
          <w:tcPr>
            <w:tcW w:w="5600" w:type="dxa"/>
            <w:vAlign w:val="bottom"/>
            <w:shd w:val="clear" w:color="auto" w:fill="EBECEC"/>
          </w:tcPr>
          <w:p>
            <w:pPr>
              <w:ind w:left="280"/>
              <w:spacing w:after="0"/>
              <w:rPr>
                <w:sz w:val="20"/>
                <w:szCs w:val="20"/>
                <w:color w:val="auto"/>
              </w:rPr>
            </w:pPr>
            <w:r>
              <w:rPr>
                <w:rFonts w:ascii="Arial" w:cs="Arial" w:eastAsia="Arial" w:hAnsi="Arial"/>
                <w:sz w:val="20"/>
                <w:szCs w:val="20"/>
                <w:color w:val="231F20"/>
              </w:rPr>
              <w:t>Clinical trials expenses</w:t>
            </w:r>
          </w:p>
        </w:tc>
        <w:tc>
          <w:tcPr>
            <w:tcW w:w="1040" w:type="dxa"/>
            <w:vAlign w:val="bottom"/>
            <w:shd w:val="clear" w:color="auto" w:fill="EBECEC"/>
          </w:tcPr>
          <w:p>
            <w:pPr>
              <w:spacing w:after="0"/>
              <w:rPr>
                <w:sz w:val="21"/>
                <w:szCs w:val="21"/>
                <w:color w:val="auto"/>
              </w:rPr>
            </w:pPr>
          </w:p>
        </w:tc>
        <w:tc>
          <w:tcPr>
            <w:tcW w:w="1200" w:type="dxa"/>
            <w:vAlign w:val="bottom"/>
            <w:shd w:val="clear" w:color="auto" w:fill="EBECEC"/>
          </w:tcPr>
          <w:p>
            <w:pPr>
              <w:spacing w:after="0"/>
              <w:rPr>
                <w:sz w:val="21"/>
                <w:szCs w:val="21"/>
                <w:color w:val="auto"/>
              </w:rPr>
            </w:pPr>
          </w:p>
        </w:tc>
        <w:tc>
          <w:tcPr>
            <w:tcW w:w="800" w:type="dxa"/>
            <w:vAlign w:val="bottom"/>
            <w:shd w:val="clear" w:color="auto" w:fill="EBECEC"/>
          </w:tcPr>
          <w:p>
            <w:pPr>
              <w:jc w:val="right"/>
              <w:ind w:right="20"/>
              <w:spacing w:after="0"/>
              <w:rPr>
                <w:sz w:val="20"/>
                <w:szCs w:val="20"/>
                <w:color w:val="auto"/>
              </w:rPr>
            </w:pPr>
            <w:r>
              <w:rPr>
                <w:rFonts w:ascii="Arial" w:cs="Arial" w:eastAsia="Arial" w:hAnsi="Arial"/>
                <w:sz w:val="20"/>
                <w:szCs w:val="20"/>
                <w:color w:val="231F20"/>
              </w:rPr>
              <w:t>2,783</w:t>
            </w:r>
          </w:p>
        </w:tc>
        <w:tc>
          <w:tcPr>
            <w:tcW w:w="180" w:type="dxa"/>
            <w:vAlign w:val="bottom"/>
            <w:shd w:val="clear" w:color="auto" w:fill="EBECEC"/>
          </w:tcPr>
          <w:p>
            <w:pPr>
              <w:spacing w:after="0"/>
              <w:rPr>
                <w:sz w:val="21"/>
                <w:szCs w:val="21"/>
                <w:color w:val="auto"/>
              </w:rPr>
            </w:pPr>
          </w:p>
        </w:tc>
        <w:tc>
          <w:tcPr>
            <w:tcW w:w="1200" w:type="dxa"/>
            <w:vAlign w:val="bottom"/>
            <w:shd w:val="clear" w:color="auto" w:fill="EBECEC"/>
          </w:tcPr>
          <w:p>
            <w:pPr>
              <w:spacing w:after="0"/>
              <w:rPr>
                <w:sz w:val="21"/>
                <w:szCs w:val="21"/>
                <w:color w:val="auto"/>
              </w:rPr>
            </w:pPr>
          </w:p>
        </w:tc>
        <w:tc>
          <w:tcPr>
            <w:tcW w:w="7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15,626</w:t>
            </w:r>
          </w:p>
        </w:tc>
      </w:tr>
      <w:tr>
        <w:trPr>
          <w:trHeight w:val="244"/>
        </w:trPr>
        <w:tc>
          <w:tcPr>
            <w:tcW w:w="5600" w:type="dxa"/>
            <w:vAlign w:val="bottom"/>
            <w:tcBorders>
              <w:bottom w:val="single" w:sz="8" w:color="EBECEC"/>
            </w:tcBorders>
          </w:tcPr>
          <w:p>
            <w:pPr>
              <w:ind w:left="280"/>
              <w:spacing w:after="0"/>
              <w:rPr>
                <w:sz w:val="20"/>
                <w:szCs w:val="20"/>
                <w:color w:val="auto"/>
              </w:rPr>
            </w:pPr>
            <w:r>
              <w:rPr>
                <w:rFonts w:ascii="Arial" w:cs="Arial" w:eastAsia="Arial" w:hAnsi="Arial"/>
                <w:sz w:val="20"/>
                <w:szCs w:val="20"/>
                <w:color w:val="231F20"/>
              </w:rPr>
              <w:t>Consulting and outside services</w:t>
            </w:r>
          </w:p>
        </w:tc>
        <w:tc>
          <w:tcPr>
            <w:tcW w:w="1040" w:type="dxa"/>
            <w:vAlign w:val="bottom"/>
            <w:tcBorders>
              <w:bottom w:val="single" w:sz="8" w:color="EBECEC"/>
            </w:tcBorders>
          </w:tcPr>
          <w:p>
            <w:pPr>
              <w:spacing w:after="0"/>
              <w:rPr>
                <w:sz w:val="21"/>
                <w:szCs w:val="21"/>
                <w:color w:val="auto"/>
              </w:rPr>
            </w:pPr>
          </w:p>
        </w:tc>
        <w:tc>
          <w:tcPr>
            <w:tcW w:w="120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ind w:right="20"/>
              <w:spacing w:after="0"/>
              <w:rPr>
                <w:sz w:val="20"/>
                <w:szCs w:val="20"/>
                <w:color w:val="auto"/>
              </w:rPr>
            </w:pPr>
            <w:r>
              <w:rPr>
                <w:rFonts w:ascii="Arial" w:cs="Arial" w:eastAsia="Arial" w:hAnsi="Arial"/>
                <w:sz w:val="20"/>
                <w:szCs w:val="20"/>
                <w:color w:val="231F20"/>
              </w:rPr>
              <w:t>2,400</w:t>
            </w:r>
          </w:p>
        </w:tc>
        <w:tc>
          <w:tcPr>
            <w:tcW w:w="180" w:type="dxa"/>
            <w:vAlign w:val="bottom"/>
            <w:tcBorders>
              <w:bottom w:val="single" w:sz="8" w:color="EBECEC"/>
            </w:tcBorders>
          </w:tcPr>
          <w:p>
            <w:pPr>
              <w:spacing w:after="0"/>
              <w:rPr>
                <w:sz w:val="21"/>
                <w:szCs w:val="21"/>
                <w:color w:val="auto"/>
              </w:rPr>
            </w:pPr>
          </w:p>
        </w:tc>
        <w:tc>
          <w:tcPr>
            <w:tcW w:w="120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4,707</w:t>
            </w:r>
          </w:p>
        </w:tc>
      </w:tr>
      <w:tr>
        <w:trPr>
          <w:trHeight w:val="239"/>
        </w:trPr>
        <w:tc>
          <w:tcPr>
            <w:tcW w:w="5600" w:type="dxa"/>
            <w:vAlign w:val="bottom"/>
            <w:shd w:val="clear" w:color="auto" w:fill="EBECEC"/>
          </w:tcPr>
          <w:p>
            <w:pPr>
              <w:spacing w:after="0"/>
              <w:rPr>
                <w:sz w:val="20"/>
                <w:szCs w:val="20"/>
                <w:color w:val="auto"/>
              </w:rPr>
            </w:pPr>
            <w:r>
              <w:rPr>
                <w:rFonts w:ascii="Arial" w:cs="Arial" w:eastAsia="Arial" w:hAnsi="Arial"/>
                <w:sz w:val="20"/>
                <w:szCs w:val="20"/>
                <w:color w:val="231F20"/>
              </w:rPr>
              <w:t>Total external research and development expenses</w:t>
            </w:r>
          </w:p>
        </w:tc>
        <w:tc>
          <w:tcPr>
            <w:tcW w:w="1040" w:type="dxa"/>
            <w:vAlign w:val="bottom"/>
            <w:shd w:val="clear" w:color="auto" w:fill="EBECEC"/>
          </w:tcPr>
          <w:p>
            <w:pPr>
              <w:spacing w:after="0"/>
              <w:rPr>
                <w:sz w:val="20"/>
                <w:szCs w:val="20"/>
                <w:color w:val="auto"/>
              </w:rPr>
            </w:pPr>
          </w:p>
        </w:tc>
        <w:tc>
          <w:tcPr>
            <w:tcW w:w="1200" w:type="dxa"/>
            <w:vAlign w:val="bottom"/>
            <w:shd w:val="clear" w:color="auto" w:fill="EBECEC"/>
          </w:tcPr>
          <w:p>
            <w:pPr>
              <w:spacing w:after="0"/>
              <w:rPr>
                <w:sz w:val="20"/>
                <w:szCs w:val="20"/>
                <w:color w:val="auto"/>
              </w:rPr>
            </w:pPr>
          </w:p>
        </w:tc>
        <w:tc>
          <w:tcPr>
            <w:tcW w:w="800" w:type="dxa"/>
            <w:vAlign w:val="bottom"/>
            <w:shd w:val="clear" w:color="auto" w:fill="EBECEC"/>
          </w:tcPr>
          <w:p>
            <w:pPr>
              <w:jc w:val="right"/>
              <w:ind w:right="20"/>
              <w:spacing w:after="0"/>
              <w:rPr>
                <w:sz w:val="20"/>
                <w:szCs w:val="20"/>
                <w:color w:val="auto"/>
              </w:rPr>
            </w:pPr>
            <w:r>
              <w:rPr>
                <w:rFonts w:ascii="Arial" w:cs="Arial" w:eastAsia="Arial" w:hAnsi="Arial"/>
                <w:sz w:val="20"/>
                <w:szCs w:val="20"/>
                <w:color w:val="231F20"/>
              </w:rPr>
              <w:t>15,798</w:t>
            </w:r>
          </w:p>
        </w:tc>
        <w:tc>
          <w:tcPr>
            <w:tcW w:w="180" w:type="dxa"/>
            <w:vAlign w:val="bottom"/>
            <w:shd w:val="clear" w:color="auto" w:fill="EBECEC"/>
          </w:tcPr>
          <w:p>
            <w:pPr>
              <w:spacing w:after="0"/>
              <w:rPr>
                <w:sz w:val="20"/>
                <w:szCs w:val="20"/>
                <w:color w:val="auto"/>
              </w:rPr>
            </w:pPr>
          </w:p>
        </w:tc>
        <w:tc>
          <w:tcPr>
            <w:tcW w:w="1200" w:type="dxa"/>
            <w:vAlign w:val="bottom"/>
            <w:shd w:val="clear" w:color="auto" w:fill="EBECEC"/>
          </w:tcPr>
          <w:p>
            <w:pPr>
              <w:spacing w:after="0"/>
              <w:rPr>
                <w:sz w:val="20"/>
                <w:szCs w:val="20"/>
                <w:color w:val="auto"/>
              </w:rPr>
            </w:pPr>
          </w:p>
        </w:tc>
        <w:tc>
          <w:tcPr>
            <w:tcW w:w="780" w:type="dxa"/>
            <w:vAlign w:val="bottom"/>
            <w:shd w:val="clear" w:color="auto" w:fill="EBECEC"/>
          </w:tcPr>
          <w:p>
            <w:pPr>
              <w:jc w:val="right"/>
              <w:spacing w:after="0"/>
              <w:rPr>
                <w:sz w:val="20"/>
                <w:szCs w:val="20"/>
                <w:color w:val="auto"/>
              </w:rPr>
            </w:pPr>
            <w:r>
              <w:rPr>
                <w:rFonts w:ascii="Arial" w:cs="Arial" w:eastAsia="Arial" w:hAnsi="Arial"/>
                <w:sz w:val="20"/>
                <w:szCs w:val="20"/>
                <w:color w:val="231F20"/>
              </w:rPr>
              <w:t>27,244</w:t>
            </w:r>
          </w:p>
        </w:tc>
      </w:tr>
      <w:tr>
        <w:trPr>
          <w:trHeight w:val="244"/>
        </w:trPr>
        <w:tc>
          <w:tcPr>
            <w:tcW w:w="5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4"/>
        </w:trPr>
        <w:tc>
          <w:tcPr>
            <w:tcW w:w="5600" w:type="dxa"/>
            <w:vAlign w:val="bottom"/>
            <w:shd w:val="clear" w:color="auto" w:fill="EBECEC"/>
          </w:tcPr>
          <w:p>
            <w:pPr>
              <w:spacing w:after="0"/>
              <w:rPr>
                <w:sz w:val="20"/>
                <w:szCs w:val="20"/>
                <w:color w:val="auto"/>
              </w:rPr>
            </w:pPr>
            <w:r>
              <w:rPr>
                <w:rFonts w:ascii="Arial" w:cs="Arial" w:eastAsia="Arial" w:hAnsi="Arial"/>
                <w:sz w:val="20"/>
                <w:szCs w:val="20"/>
                <w:b w:val="1"/>
                <w:bCs w:val="1"/>
                <w:color w:val="231F20"/>
              </w:rPr>
              <w:t>Internal research and development expenses:</w:t>
            </w:r>
          </w:p>
        </w:tc>
        <w:tc>
          <w:tcPr>
            <w:tcW w:w="1040" w:type="dxa"/>
            <w:vAlign w:val="bottom"/>
            <w:shd w:val="clear" w:color="auto" w:fill="EBECEC"/>
          </w:tcPr>
          <w:p>
            <w:pPr>
              <w:spacing w:after="0"/>
              <w:rPr>
                <w:sz w:val="21"/>
                <w:szCs w:val="21"/>
                <w:color w:val="auto"/>
              </w:rPr>
            </w:pPr>
          </w:p>
        </w:tc>
        <w:tc>
          <w:tcPr>
            <w:tcW w:w="1200" w:type="dxa"/>
            <w:vAlign w:val="bottom"/>
            <w:shd w:val="clear" w:color="auto" w:fill="EBECEC"/>
          </w:tcPr>
          <w:p>
            <w:pPr>
              <w:spacing w:after="0"/>
              <w:rPr>
                <w:sz w:val="21"/>
                <w:szCs w:val="21"/>
                <w:color w:val="auto"/>
              </w:rPr>
            </w:pPr>
          </w:p>
        </w:tc>
        <w:tc>
          <w:tcPr>
            <w:tcW w:w="80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1200" w:type="dxa"/>
            <w:vAlign w:val="bottom"/>
            <w:shd w:val="clear" w:color="auto" w:fill="EBECEC"/>
          </w:tcPr>
          <w:p>
            <w:pPr>
              <w:spacing w:after="0"/>
              <w:rPr>
                <w:sz w:val="21"/>
                <w:szCs w:val="21"/>
                <w:color w:val="auto"/>
              </w:rPr>
            </w:pPr>
          </w:p>
        </w:tc>
        <w:tc>
          <w:tcPr>
            <w:tcW w:w="780" w:type="dxa"/>
            <w:vAlign w:val="bottom"/>
            <w:shd w:val="clear" w:color="auto" w:fill="EBECEC"/>
          </w:tcPr>
          <w:p>
            <w:pPr>
              <w:spacing w:after="0"/>
              <w:rPr>
                <w:sz w:val="21"/>
                <w:szCs w:val="21"/>
                <w:color w:val="auto"/>
              </w:rPr>
            </w:pPr>
          </w:p>
        </w:tc>
      </w:tr>
      <w:tr>
        <w:trPr>
          <w:trHeight w:val="244"/>
        </w:trPr>
        <w:tc>
          <w:tcPr>
            <w:tcW w:w="5600" w:type="dxa"/>
            <w:vAlign w:val="bottom"/>
            <w:tcBorders>
              <w:bottom w:val="single" w:sz="8" w:color="EBECEC"/>
            </w:tcBorders>
          </w:tcPr>
          <w:p>
            <w:pPr>
              <w:ind w:left="280"/>
              <w:spacing w:after="0"/>
              <w:rPr>
                <w:sz w:val="20"/>
                <w:szCs w:val="20"/>
                <w:color w:val="auto"/>
              </w:rPr>
            </w:pPr>
            <w:r>
              <w:rPr>
                <w:rFonts w:ascii="Arial" w:cs="Arial" w:eastAsia="Arial" w:hAnsi="Arial"/>
                <w:sz w:val="20"/>
                <w:szCs w:val="20"/>
                <w:color w:val="231F20"/>
              </w:rPr>
              <w:t>Personnel-related expenses</w:t>
            </w:r>
          </w:p>
        </w:tc>
        <w:tc>
          <w:tcPr>
            <w:tcW w:w="1040" w:type="dxa"/>
            <w:vAlign w:val="bottom"/>
            <w:tcBorders>
              <w:bottom w:val="single" w:sz="8" w:color="EBECEC"/>
            </w:tcBorders>
          </w:tcPr>
          <w:p>
            <w:pPr>
              <w:spacing w:after="0"/>
              <w:rPr>
                <w:sz w:val="21"/>
                <w:szCs w:val="21"/>
                <w:color w:val="auto"/>
              </w:rPr>
            </w:pPr>
          </w:p>
        </w:tc>
        <w:tc>
          <w:tcPr>
            <w:tcW w:w="120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ind w:right="20"/>
              <w:spacing w:after="0"/>
              <w:rPr>
                <w:sz w:val="20"/>
                <w:szCs w:val="20"/>
                <w:color w:val="auto"/>
              </w:rPr>
            </w:pPr>
            <w:r>
              <w:rPr>
                <w:rFonts w:ascii="Arial" w:cs="Arial" w:eastAsia="Arial" w:hAnsi="Arial"/>
                <w:sz w:val="20"/>
                <w:szCs w:val="20"/>
                <w:color w:val="231F20"/>
              </w:rPr>
              <w:t>8,971</w:t>
            </w:r>
          </w:p>
        </w:tc>
        <w:tc>
          <w:tcPr>
            <w:tcW w:w="18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13,244</w:t>
            </w:r>
          </w:p>
        </w:tc>
      </w:tr>
      <w:tr>
        <w:trPr>
          <w:trHeight w:val="239"/>
        </w:trPr>
        <w:tc>
          <w:tcPr>
            <w:tcW w:w="5600" w:type="dxa"/>
            <w:vAlign w:val="bottom"/>
            <w:shd w:val="clear" w:color="auto" w:fill="EBECEC"/>
          </w:tcPr>
          <w:p>
            <w:pPr>
              <w:spacing w:after="0"/>
              <w:rPr>
                <w:sz w:val="20"/>
                <w:szCs w:val="20"/>
                <w:color w:val="auto"/>
              </w:rPr>
            </w:pPr>
            <w:r>
              <w:rPr>
                <w:rFonts w:ascii="Arial" w:cs="Arial" w:eastAsia="Arial" w:hAnsi="Arial"/>
                <w:sz w:val="20"/>
                <w:szCs w:val="20"/>
                <w:color w:val="231F20"/>
              </w:rPr>
              <w:t>Total research and development expenses</w:t>
            </w:r>
          </w:p>
        </w:tc>
        <w:tc>
          <w:tcPr>
            <w:tcW w:w="1040" w:type="dxa"/>
            <w:vAlign w:val="bottom"/>
            <w:shd w:val="clear" w:color="auto" w:fill="EBECEC"/>
          </w:tcPr>
          <w:p>
            <w:pPr>
              <w:spacing w:after="0"/>
              <w:rPr>
                <w:sz w:val="20"/>
                <w:szCs w:val="20"/>
                <w:color w:val="auto"/>
              </w:rPr>
            </w:pPr>
          </w:p>
        </w:tc>
        <w:tc>
          <w:tcPr>
            <w:tcW w:w="1200" w:type="dxa"/>
            <w:vAlign w:val="bottom"/>
            <w:tcBorders>
              <w:bottom w:val="single" w:sz="8" w:color="231F20"/>
            </w:tcBorders>
            <w:shd w:val="clear" w:color="auto" w:fill="EBECEC"/>
          </w:tcPr>
          <w:p>
            <w:pPr>
              <w:jc w:val="right"/>
              <w:ind w:right="1010"/>
              <w:spacing w:after="0"/>
              <w:rPr>
                <w:sz w:val="20"/>
                <w:szCs w:val="20"/>
                <w:color w:val="auto"/>
              </w:rPr>
            </w:pPr>
            <w:r>
              <w:rPr>
                <w:rFonts w:ascii="Arial" w:cs="Arial" w:eastAsia="Arial" w:hAnsi="Arial"/>
                <w:sz w:val="20"/>
                <w:szCs w:val="20"/>
                <w:color w:val="231F20"/>
                <w:w w:val="71"/>
              </w:rPr>
              <w:t>$</w:t>
            </w:r>
          </w:p>
        </w:tc>
        <w:tc>
          <w:tcPr>
            <w:tcW w:w="800" w:type="dxa"/>
            <w:vAlign w:val="bottom"/>
            <w:tcBorders>
              <w:bottom w:val="single" w:sz="8" w:color="231F20"/>
            </w:tcBorders>
            <w:shd w:val="clear" w:color="auto" w:fill="EBECEC"/>
          </w:tcPr>
          <w:p>
            <w:pPr>
              <w:jc w:val="right"/>
              <w:ind w:right="20"/>
              <w:spacing w:after="0"/>
              <w:rPr>
                <w:sz w:val="20"/>
                <w:szCs w:val="20"/>
                <w:color w:val="auto"/>
              </w:rPr>
            </w:pPr>
            <w:r>
              <w:rPr>
                <w:rFonts w:ascii="Arial" w:cs="Arial" w:eastAsia="Arial" w:hAnsi="Arial"/>
                <w:sz w:val="20"/>
                <w:szCs w:val="20"/>
                <w:color w:val="231F20"/>
              </w:rPr>
              <w:t>24,769</w:t>
            </w:r>
          </w:p>
        </w:tc>
        <w:tc>
          <w:tcPr>
            <w:tcW w:w="1380" w:type="dxa"/>
            <w:vAlign w:val="bottom"/>
            <w:tcBorders>
              <w:bottom w:val="single" w:sz="8" w:color="231F20"/>
            </w:tcBorders>
            <w:gridSpan w:val="2"/>
            <w:shd w:val="clear" w:color="auto" w:fill="EBECEC"/>
          </w:tcPr>
          <w:p>
            <w:pPr>
              <w:jc w:val="right"/>
              <w:ind w:right="980"/>
              <w:spacing w:after="0"/>
              <w:rPr>
                <w:sz w:val="20"/>
                <w:szCs w:val="20"/>
                <w:color w:val="auto"/>
              </w:rPr>
            </w:pPr>
            <w:r>
              <w:rPr>
                <w:rFonts w:ascii="Arial" w:cs="Arial" w:eastAsia="Arial" w:hAnsi="Arial"/>
                <w:sz w:val="20"/>
                <w:szCs w:val="20"/>
                <w:color w:val="231F20"/>
              </w:rPr>
              <w:t>$</w:t>
            </w:r>
          </w:p>
        </w:tc>
        <w:tc>
          <w:tcPr>
            <w:tcW w:w="780" w:type="dxa"/>
            <w:vAlign w:val="bottom"/>
            <w:tcBorders>
              <w:bottom w:val="single" w:sz="8" w:color="231F20"/>
            </w:tcBorders>
            <w:shd w:val="clear" w:color="auto" w:fill="EBECEC"/>
          </w:tcPr>
          <w:p>
            <w:pPr>
              <w:jc w:val="right"/>
              <w:spacing w:after="0"/>
              <w:rPr>
                <w:sz w:val="20"/>
                <w:szCs w:val="20"/>
                <w:color w:val="auto"/>
              </w:rPr>
            </w:pPr>
            <w:r>
              <w:rPr>
                <w:rFonts w:ascii="Arial" w:cs="Arial" w:eastAsia="Arial" w:hAnsi="Arial"/>
                <w:sz w:val="20"/>
                <w:szCs w:val="20"/>
                <w:color w:val="231F20"/>
              </w:rPr>
              <w:t>40,488</w:t>
            </w:r>
          </w:p>
        </w:tc>
      </w:tr>
      <w:tr>
        <w:trPr>
          <w:trHeight w:val="20"/>
        </w:trPr>
        <w:tc>
          <w:tcPr>
            <w:tcW w:w="5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r>
    </w:tbl>
    <w:p>
      <w:pPr>
        <w:spacing w:after="0" w:line="141" w:lineRule="exact"/>
        <w:rPr>
          <w:sz w:val="20"/>
          <w:szCs w:val="20"/>
          <w:color w:val="auto"/>
        </w:rPr>
      </w:pPr>
    </w:p>
    <w:p>
      <w:pPr>
        <w:ind w:left="5200" w:right="1480" w:hanging="5200"/>
        <w:spacing w:after="0" w:line="580" w:lineRule="auto"/>
        <w:tabs>
          <w:tab w:leader="none" w:pos="246" w:val="left"/>
        </w:tabs>
        <w:numPr>
          <w:ilvl w:val="0"/>
          <w:numId w:val="57"/>
        </w:numPr>
        <w:rPr>
          <w:rFonts w:ascii="Arial" w:cs="Arial" w:eastAsia="Arial" w:hAnsi="Arial"/>
          <w:sz w:val="16"/>
          <w:szCs w:val="16"/>
          <w:color w:val="231F20"/>
        </w:rPr>
      </w:pPr>
      <w:r>
        <w:rPr>
          <w:rFonts w:ascii="Arial" w:cs="Arial" w:eastAsia="Arial" w:hAnsi="Arial"/>
          <w:sz w:val="20"/>
          <w:szCs w:val="20"/>
          <w:color w:val="231F20"/>
        </w:rPr>
        <w:t>Chemistry manufacturing controls, research and preclinical studies and other miscellaneous expenses. F-26</w:t>
      </w:r>
    </w:p>
    <w:p>
      <w:pPr>
        <w:sectPr>
          <w:pgSz w:w="11880" w:h="15487" w:orient="portrait"/>
          <w:cols w:equalWidth="0" w:num="1">
            <w:col w:w="10800"/>
          </w:cols>
          <w:pgMar w:left="540" w:top="756" w:right="540" w:bottom="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0"/>
          <w:szCs w:val="20"/>
          <w:b w:val="1"/>
          <w:bCs w:val="1"/>
          <w:color w:val="231F20"/>
        </w:rPr>
        <w:t>AN2 Therapeutics,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Notes to Financial Statements — Continued</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14. Related Party Transactions</w:t>
      </w:r>
    </w:p>
    <w:p>
      <w:pPr>
        <w:spacing w:after="0" w:line="124" w:lineRule="exact"/>
        <w:rPr>
          <w:sz w:val="20"/>
          <w:szCs w:val="20"/>
          <w:color w:val="auto"/>
        </w:rPr>
      </w:pPr>
    </w:p>
    <w:p>
      <w:pPr>
        <w:jc w:val="both"/>
        <w:ind w:right="20" w:firstLine="490"/>
        <w:spacing w:after="0" w:line="261" w:lineRule="auto"/>
        <w:rPr>
          <w:sz w:val="20"/>
          <w:szCs w:val="20"/>
          <w:color w:val="auto"/>
        </w:rPr>
      </w:pPr>
      <w:r>
        <w:rPr>
          <w:rFonts w:ascii="Arial" w:cs="Arial" w:eastAsia="Arial" w:hAnsi="Arial"/>
          <w:sz w:val="20"/>
          <w:szCs w:val="20"/>
          <w:color w:val="231F20"/>
        </w:rPr>
        <w:t>During the year ended December 31, 2025, other than the addition of an existing stockholder who participated in the pre-funded warrant transaction as disclosed in Note 8, there were no additional material related party transactions. During the year ended December 31, 2024, there were no material related party transactions.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Note 15. Subsequent Events</w:t>
      </w:r>
    </w:p>
    <w:p>
      <w:pPr>
        <w:spacing w:after="0" w:line="124" w:lineRule="exact"/>
        <w:rPr>
          <w:sz w:val="20"/>
          <w:szCs w:val="20"/>
          <w:color w:val="auto"/>
        </w:rPr>
      </w:pPr>
    </w:p>
    <w:p>
      <w:pPr>
        <w:ind w:firstLine="490"/>
        <w:spacing w:after="0" w:line="248" w:lineRule="auto"/>
        <w:rPr>
          <w:sz w:val="20"/>
          <w:szCs w:val="20"/>
          <w:color w:val="auto"/>
        </w:rPr>
      </w:pPr>
      <w:r>
        <w:rPr>
          <w:rFonts w:ascii="Arial" w:cs="Arial" w:eastAsia="Arial" w:hAnsi="Arial"/>
          <w:sz w:val="20"/>
          <w:szCs w:val="20"/>
          <w:color w:val="231F20"/>
        </w:rPr>
        <w:t>On March 8, 2026, the Company entered into a Securities Purchase Agreement with certain investors to sell through a private placement 8,245,611 shares of common stock at a price of $2.85 per share and pre-funded warrants to purchase up to 5,789,473 shares of common stock at a purchase price of $2.84999 per pre-funded warrant, resulting in aggregate gross proceeds of $40.0 million before deducting the placement agent’s fees and other offering expenses and excluding any proceeds the Company may receive upon exercise of the pre-funded warrants (the “Private Placement”.) The Private Placement closed on March 10, 2026.</w:t>
      </w:r>
    </w:p>
    <w:p>
      <w:pPr>
        <w:sectPr>
          <w:pgSz w:w="11880" w:h="15480" w:orient="portrait"/>
          <w:cols w:equalWidth="0" w:num="1">
            <w:col w:w="10780"/>
          </w:cols>
          <w:pgMar w:left="540" w:top="756" w:right="5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F-27</w:t>
      </w:r>
    </w:p>
    <w:p>
      <w:pPr>
        <w:sectPr>
          <w:pgSz w:w="11880" w:h="15480" w:orient="portrait"/>
          <w:cols w:equalWidth="0" w:num="1">
            <w:col w:w="10780"/>
          </w:cols>
          <w:pgMar w:left="540" w:top="756" w:right="560" w:bottom="6" w:gutter="0" w:footer="0" w:header="0"/>
          <w:type w:val="continuous"/>
        </w:sectPr>
      </w:pPr>
    </w:p>
    <w:bookmarkStart w:id="118" w:name="page119"/>
    <w:bookmarkEnd w:id="118"/>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9" w:name="page120"/>
    <w:bookmarkEnd w:id="119"/>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404"/>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decimal"/>
      <w:start w:val="2"/>
    </w:lvl>
  </w:abstractNum>
  <w:abstractNum w:abstractNumId="50">
    <w:nsid w:val="374A3FE6"/>
    <w:multiLevelType w:val="hybridMultilevel"/>
    <w:lvl w:ilvl="0">
      <w:lvlJc w:val="left"/>
      <w:lvlText w:val="%1"/>
      <w:numFmt w:val="decimal"/>
      <w:start w:val="104"/>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2026-04-22T15:07:28Z</dcterms:created>
  <dcterms:modified xsi:type="dcterms:W3CDTF">2026-04-22T15:07:28Z</dcterms:modified>
</cp:coreProperties>
</file>