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Sarah Joanne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20" w:lineRule="auto"/>
        <w:rPr>
          <w:sz w:val="20"/>
          <w:szCs w:val="20"/>
          <w:color w:val="auto"/>
        </w:rPr>
      </w:pPr>
      <w:r>
        <w:rPr>
          <w:rFonts w:ascii="Times New Roman" w:cs="Times New Roman" w:eastAsia="Times New Roman" w:hAnsi="Times New Roman"/>
          <w:sz w:val="17"/>
          <w:szCs w:val="17"/>
          <w:color w:val="0000FF"/>
        </w:rPr>
        <w:t>C/O AN2 THERAPEUTICS, INC. 1300 EL CAMINO REAL,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AN2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ANTX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94025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w w:val="98"/>
                <w:vertAlign w:val="subscript"/>
              </w:rPr>
              <w:t>265</w:t>
            </w:r>
            <w:r>
              <w:rPr>
                <w:rFonts w:ascii="Times New Roman" w:cs="Times New Roman" w:eastAsia="Times New Roman" w:hAnsi="Times New Roman"/>
                <w:sz w:val="11"/>
                <w:szCs w:val="11"/>
                <w:color w:val="008000"/>
                <w:w w:val="98"/>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66,583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pursuant to the terms of the grant to satisfy tax withholding obligations arising from the vesting of Restricted Stock Units ("RSUs") on May 29,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48,375 RSUs which vest as follows: 1/4th of the shares vests in substantially equal installments annually (rounded down to the nearest whole number of shares) over four years from January 1, 2026, and the balance of (b) 10,938 RSUs which vest as follows: 1/4th of the RSUs vests in substantially equal installments annually (rounded down to the nearest whole number of shares) over four years from January 1, 2025, and (c) 11,850 RSUs which vest as follows: 1/16th of the RSUs vests in substantially equal installments quarterly (rounded down to the nearest whole number of shares) over four years from May 28, 2024, in each case subject to the Reporting Person's continuous service through each applicable vesting date. A total of 3,766 shares from the aggregate number of the RSUs issued under (b) and (c) above were sold to cover taxes and a total of 814 shares were sold on the open market.</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Joanne Williams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8922" TargetMode="External"/><Relationship Id="rId14" Type="http://schemas.openxmlformats.org/officeDocument/2006/relationships/hyperlink" Target="http://www.sec.gov/cgi-bin/browse-edgar?action=getcompany&amp;CIK=00018804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2026-06-02T15:48:23Z</dcterms:created>
  <dcterms:modified xsi:type="dcterms:W3CDTF">2026-06-02T15:48:23Z</dcterms:modified>
</cp:coreProperties>
</file>